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8EC991" w14:textId="77777777" w:rsidR="004249AC" w:rsidRPr="004249AC" w:rsidRDefault="004249AC" w:rsidP="004249AC">
      <w:pPr>
        <w:spacing w:line="240" w:lineRule="auto"/>
        <w:ind w:firstLine="709"/>
        <w:jc w:val="right"/>
        <w:rPr>
          <w:rFonts w:ascii="Times New Roman" w:hAnsi="Times New Roman" w:cs="Times New Roman"/>
          <w:b/>
          <w:bCs/>
          <w:sz w:val="24"/>
          <w:szCs w:val="24"/>
          <w:lang w:val="fr-FR"/>
        </w:rPr>
      </w:pPr>
      <w:r w:rsidRPr="004249AC">
        <w:rPr>
          <w:rFonts w:ascii="Times New Roman" w:hAnsi="Times New Roman" w:cs="Times New Roman"/>
          <w:b/>
          <w:bCs/>
          <w:sz w:val="24"/>
          <w:szCs w:val="24"/>
          <w:lang w:val="fr-FR"/>
        </w:rPr>
        <w:t xml:space="preserve">ISEC </w:t>
      </w:r>
    </w:p>
    <w:p w14:paraId="7DD77984" w14:textId="77777777" w:rsidR="004249AC" w:rsidRPr="004249AC" w:rsidRDefault="004249AC" w:rsidP="004249AC">
      <w:pPr>
        <w:spacing w:line="240" w:lineRule="auto"/>
        <w:ind w:firstLine="709"/>
        <w:jc w:val="right"/>
        <w:rPr>
          <w:rFonts w:ascii="Times New Roman" w:hAnsi="Times New Roman" w:cs="Times New Roman"/>
          <w:b/>
          <w:bCs/>
          <w:sz w:val="24"/>
          <w:szCs w:val="24"/>
          <w:lang w:val="fr-FR"/>
        </w:rPr>
      </w:pPr>
      <w:r w:rsidRPr="004249AC">
        <w:rPr>
          <w:rFonts w:ascii="Times New Roman" w:hAnsi="Times New Roman" w:cs="Times New Roman"/>
          <w:b/>
          <w:bCs/>
          <w:sz w:val="24"/>
          <w:szCs w:val="24"/>
          <w:lang w:val="fr-FR"/>
        </w:rPr>
        <w:t xml:space="preserve">(Institut de sociologie </w:t>
      </w:r>
      <w:r w:rsidRPr="004249AC">
        <w:rPr>
          <w:rFonts w:ascii="Times New Roman" w:hAnsi="Times New Roman" w:cs="Times New Roman"/>
          <w:b/>
          <w:bCs/>
          <w:sz w:val="24"/>
          <w:szCs w:val="24"/>
          <w:lang w:val="fr-FR"/>
        </w:rPr>
        <w:br/>
        <w:t>économique et culturelle)</w:t>
      </w:r>
    </w:p>
    <w:p w14:paraId="2F944604" w14:textId="2A8F1B1E" w:rsidR="00994729" w:rsidRPr="004249AC" w:rsidRDefault="004249AC" w:rsidP="00994729">
      <w:pPr>
        <w:jc w:val="center"/>
        <w:rPr>
          <w:rFonts w:ascii="Times New Roman" w:hAnsi="Times New Roman" w:cs="Times New Roman"/>
          <w:b/>
          <w:sz w:val="24"/>
          <w:szCs w:val="24"/>
          <w:lang w:val="fr-FR"/>
        </w:rPr>
      </w:pPr>
      <w:r w:rsidRPr="004249AC">
        <w:rPr>
          <w:rFonts w:ascii="Times New Roman" w:hAnsi="Times New Roman" w:cs="Times New Roman"/>
          <w:b/>
          <w:sz w:val="24"/>
          <w:szCs w:val="24"/>
          <w:lang w:val="fr-FR"/>
        </w:rPr>
        <w:t>A</w:t>
      </w:r>
      <w:r w:rsidR="00B26FD6" w:rsidRPr="004249AC">
        <w:rPr>
          <w:rFonts w:ascii="Times New Roman" w:hAnsi="Times New Roman" w:cs="Times New Roman"/>
          <w:b/>
          <w:sz w:val="24"/>
          <w:szCs w:val="24"/>
          <w:lang w:val="fr-FR"/>
        </w:rPr>
        <w:t>ppel à contributions</w:t>
      </w:r>
      <w:r w:rsidRPr="004249AC">
        <w:rPr>
          <w:rFonts w:ascii="Times New Roman" w:hAnsi="Times New Roman" w:cs="Times New Roman"/>
          <w:b/>
          <w:sz w:val="24"/>
          <w:szCs w:val="24"/>
          <w:lang w:val="fr-FR"/>
        </w:rPr>
        <w:t xml:space="preserve"> des Cahiers de Sociologie Economique et Culturelle sur le thème</w:t>
      </w:r>
      <w:r w:rsidR="00B26FD6" w:rsidRPr="004249AC">
        <w:rPr>
          <w:rFonts w:ascii="Times New Roman" w:hAnsi="Times New Roman" w:cs="Times New Roman"/>
          <w:b/>
          <w:sz w:val="24"/>
          <w:szCs w:val="24"/>
          <w:lang w:val="fr-FR"/>
        </w:rPr>
        <w:t xml:space="preserve"> </w:t>
      </w:r>
    </w:p>
    <w:p w14:paraId="0B0A350B" w14:textId="62C16032" w:rsidR="00B26FD6" w:rsidRPr="004249AC" w:rsidRDefault="00B26FD6" w:rsidP="00994729">
      <w:pPr>
        <w:jc w:val="center"/>
        <w:rPr>
          <w:rFonts w:ascii="Times New Roman" w:hAnsi="Times New Roman" w:cs="Times New Roman"/>
          <w:b/>
          <w:bCs/>
          <w:sz w:val="24"/>
          <w:szCs w:val="24"/>
          <w:lang w:val="fr-FR"/>
        </w:rPr>
      </w:pPr>
      <w:r w:rsidRPr="004249AC">
        <w:rPr>
          <w:rFonts w:ascii="Times New Roman" w:hAnsi="Times New Roman" w:cs="Times New Roman"/>
          <w:b/>
          <w:bCs/>
          <w:sz w:val="24"/>
          <w:szCs w:val="24"/>
          <w:lang w:val="fr-FR"/>
        </w:rPr>
        <w:t>Mort et genre</w:t>
      </w:r>
    </w:p>
    <w:p w14:paraId="79BB9C36" w14:textId="77777777" w:rsidR="00994729" w:rsidRPr="004249AC" w:rsidRDefault="00994729" w:rsidP="00824627">
      <w:pPr>
        <w:jc w:val="both"/>
        <w:rPr>
          <w:rFonts w:ascii="Times New Roman" w:hAnsi="Times New Roman" w:cs="Times New Roman"/>
          <w:sz w:val="24"/>
          <w:szCs w:val="24"/>
          <w:lang w:val="fr-FR"/>
        </w:rPr>
      </w:pPr>
    </w:p>
    <w:p w14:paraId="1029DEB1" w14:textId="43971F6F" w:rsidR="00824627" w:rsidRPr="004249AC" w:rsidRDefault="00824627" w:rsidP="00824627">
      <w:pPr>
        <w:jc w:val="both"/>
        <w:rPr>
          <w:rFonts w:ascii="Times New Roman" w:hAnsi="Times New Roman" w:cs="Times New Roman"/>
          <w:sz w:val="24"/>
          <w:szCs w:val="24"/>
          <w:lang w:val="fr-FR"/>
        </w:rPr>
      </w:pPr>
      <w:r w:rsidRPr="004249AC">
        <w:rPr>
          <w:rFonts w:ascii="Times New Roman" w:hAnsi="Times New Roman" w:cs="Times New Roman"/>
          <w:sz w:val="24"/>
          <w:szCs w:val="24"/>
          <w:lang w:val="fr-FR"/>
        </w:rPr>
        <w:t xml:space="preserve">« Quoi de plus universel que la mort ? » s'interrogent </w:t>
      </w:r>
      <w:proofErr w:type="spellStart"/>
      <w:r w:rsidRPr="004249AC">
        <w:rPr>
          <w:rFonts w:ascii="Times New Roman" w:hAnsi="Times New Roman" w:cs="Times New Roman"/>
          <w:sz w:val="24"/>
          <w:szCs w:val="24"/>
          <w:lang w:val="fr-FR"/>
        </w:rPr>
        <w:t>Metcalf</w:t>
      </w:r>
      <w:proofErr w:type="spellEnd"/>
      <w:r w:rsidRPr="004249AC">
        <w:rPr>
          <w:rFonts w:ascii="Times New Roman" w:hAnsi="Times New Roman" w:cs="Times New Roman"/>
          <w:sz w:val="24"/>
          <w:szCs w:val="24"/>
          <w:lang w:val="fr-FR"/>
        </w:rPr>
        <w:t xml:space="preserve"> et Huntington (1991, p. 24). Et pourtant, peu de phénomènes sociaux suscitent une telle diversité de pratiques, de rites et de représentations. Les manières de traiter </w:t>
      </w:r>
      <w:r w:rsidR="000A4E74" w:rsidRPr="004249AC">
        <w:rPr>
          <w:rFonts w:ascii="Times New Roman" w:hAnsi="Times New Roman" w:cs="Times New Roman"/>
          <w:sz w:val="24"/>
          <w:szCs w:val="24"/>
          <w:lang w:val="fr-FR"/>
        </w:rPr>
        <w:t xml:space="preserve">la mort et </w:t>
      </w:r>
      <w:r w:rsidRPr="004249AC">
        <w:rPr>
          <w:rFonts w:ascii="Times New Roman" w:hAnsi="Times New Roman" w:cs="Times New Roman"/>
          <w:sz w:val="24"/>
          <w:szCs w:val="24"/>
          <w:lang w:val="fr-FR"/>
        </w:rPr>
        <w:t xml:space="preserve">les morts, d'accompagner les mourants, d'organiser les funérailles ou de faire mémoire varient considérablement d'une société à l'autre. Cette diversité n'est jamais fortuite : elle exprime des systèmes de valeurs, des rapports de pouvoir et des conceptions du monde socialement situés. </w:t>
      </w:r>
    </w:p>
    <w:p w14:paraId="3E4D77DC" w14:textId="67F520B9" w:rsidR="003C7861" w:rsidRPr="004249AC" w:rsidRDefault="003C7861" w:rsidP="00824627">
      <w:pPr>
        <w:jc w:val="both"/>
        <w:rPr>
          <w:rFonts w:ascii="Times New Roman" w:hAnsi="Times New Roman" w:cs="Times New Roman"/>
          <w:sz w:val="24"/>
          <w:szCs w:val="24"/>
          <w:lang w:val="fr-FR"/>
        </w:rPr>
      </w:pPr>
      <w:r w:rsidRPr="004249AC">
        <w:rPr>
          <w:rFonts w:ascii="Times New Roman" w:hAnsi="Times New Roman" w:cs="Times New Roman"/>
          <w:sz w:val="24"/>
          <w:szCs w:val="24"/>
          <w:lang w:val="fr-FR"/>
        </w:rPr>
        <w:t xml:space="preserve">La mort n'est </w:t>
      </w:r>
      <w:r w:rsidR="009D2677" w:rsidRPr="004249AC">
        <w:rPr>
          <w:rFonts w:ascii="Times New Roman" w:hAnsi="Times New Roman" w:cs="Times New Roman"/>
          <w:sz w:val="24"/>
          <w:szCs w:val="24"/>
          <w:lang w:val="fr-FR"/>
        </w:rPr>
        <w:t xml:space="preserve">donc </w:t>
      </w:r>
      <w:r w:rsidRPr="004249AC">
        <w:rPr>
          <w:rFonts w:ascii="Times New Roman" w:hAnsi="Times New Roman" w:cs="Times New Roman"/>
          <w:sz w:val="24"/>
          <w:szCs w:val="24"/>
          <w:lang w:val="fr-FR"/>
        </w:rPr>
        <w:t xml:space="preserve">pas seulement synonyme de fin de vie. Si elle s'inscrit dans une temporalité, elle s'exprime également dans l'espace, comme en témoignent de nombreuses expressions populaires évoquant la « dernière demeure », le « dernier voyage » ou encore, en anglais, le fait de « </w:t>
      </w:r>
      <w:r w:rsidRPr="004249AC">
        <w:rPr>
          <w:rFonts w:ascii="Times New Roman" w:hAnsi="Times New Roman" w:cs="Times New Roman"/>
          <w:i/>
          <w:iCs/>
          <w:sz w:val="24"/>
          <w:szCs w:val="24"/>
          <w:lang w:val="fr-FR"/>
        </w:rPr>
        <w:t xml:space="preserve">cross to the </w:t>
      </w:r>
      <w:proofErr w:type="spellStart"/>
      <w:r w:rsidRPr="004249AC">
        <w:rPr>
          <w:rFonts w:ascii="Times New Roman" w:hAnsi="Times New Roman" w:cs="Times New Roman"/>
          <w:i/>
          <w:iCs/>
          <w:sz w:val="24"/>
          <w:szCs w:val="24"/>
          <w:lang w:val="fr-FR"/>
        </w:rPr>
        <w:t>other</w:t>
      </w:r>
      <w:proofErr w:type="spellEnd"/>
      <w:r w:rsidRPr="004249AC">
        <w:rPr>
          <w:rFonts w:ascii="Times New Roman" w:hAnsi="Times New Roman" w:cs="Times New Roman"/>
          <w:i/>
          <w:iCs/>
          <w:sz w:val="24"/>
          <w:szCs w:val="24"/>
          <w:lang w:val="fr-FR"/>
        </w:rPr>
        <w:t xml:space="preserve"> </w:t>
      </w:r>
      <w:proofErr w:type="spellStart"/>
      <w:r w:rsidRPr="004249AC">
        <w:rPr>
          <w:rFonts w:ascii="Times New Roman" w:hAnsi="Times New Roman" w:cs="Times New Roman"/>
          <w:i/>
          <w:iCs/>
          <w:sz w:val="24"/>
          <w:szCs w:val="24"/>
          <w:lang w:val="fr-FR"/>
        </w:rPr>
        <w:t>side</w:t>
      </w:r>
      <w:proofErr w:type="spellEnd"/>
      <w:r w:rsidRPr="004249AC">
        <w:rPr>
          <w:rFonts w:ascii="Times New Roman" w:hAnsi="Times New Roman" w:cs="Times New Roman"/>
          <w:sz w:val="24"/>
          <w:szCs w:val="24"/>
          <w:lang w:val="fr-FR"/>
        </w:rPr>
        <w:t xml:space="preserve"> » ou d'être « </w:t>
      </w:r>
      <w:r w:rsidRPr="004249AC">
        <w:rPr>
          <w:rFonts w:ascii="Times New Roman" w:hAnsi="Times New Roman" w:cs="Times New Roman"/>
          <w:i/>
          <w:iCs/>
          <w:sz w:val="24"/>
          <w:szCs w:val="24"/>
          <w:lang w:val="fr-FR"/>
        </w:rPr>
        <w:t xml:space="preserve">in a </w:t>
      </w:r>
      <w:proofErr w:type="spellStart"/>
      <w:r w:rsidRPr="004249AC">
        <w:rPr>
          <w:rFonts w:ascii="Times New Roman" w:hAnsi="Times New Roman" w:cs="Times New Roman"/>
          <w:i/>
          <w:iCs/>
          <w:sz w:val="24"/>
          <w:szCs w:val="24"/>
          <w:lang w:val="fr-FR"/>
        </w:rPr>
        <w:t>better</w:t>
      </w:r>
      <w:proofErr w:type="spellEnd"/>
      <w:r w:rsidRPr="004249AC">
        <w:rPr>
          <w:rFonts w:ascii="Times New Roman" w:hAnsi="Times New Roman" w:cs="Times New Roman"/>
          <w:i/>
          <w:iCs/>
          <w:sz w:val="24"/>
          <w:szCs w:val="24"/>
          <w:lang w:val="fr-FR"/>
        </w:rPr>
        <w:t xml:space="preserve"> place</w:t>
      </w:r>
      <w:r w:rsidRPr="004249AC">
        <w:rPr>
          <w:rFonts w:ascii="Times New Roman" w:hAnsi="Times New Roman" w:cs="Times New Roman"/>
          <w:sz w:val="24"/>
          <w:szCs w:val="24"/>
          <w:lang w:val="fr-FR"/>
        </w:rPr>
        <w:t xml:space="preserve"> » (</w:t>
      </w:r>
      <w:proofErr w:type="spellStart"/>
      <w:r w:rsidRPr="004249AC">
        <w:rPr>
          <w:rFonts w:ascii="Times New Roman" w:hAnsi="Times New Roman" w:cs="Times New Roman"/>
          <w:sz w:val="24"/>
          <w:szCs w:val="24"/>
          <w:lang w:val="fr-FR"/>
        </w:rPr>
        <w:t>Maddrell</w:t>
      </w:r>
      <w:proofErr w:type="spellEnd"/>
      <w:r w:rsidRPr="004249AC">
        <w:rPr>
          <w:rFonts w:ascii="Times New Roman" w:hAnsi="Times New Roman" w:cs="Times New Roman"/>
          <w:sz w:val="24"/>
          <w:szCs w:val="24"/>
          <w:lang w:val="fr-FR"/>
        </w:rPr>
        <w:t>, 2010). Ces images rappellent que la mort ne se réduit pas à un instant biologique : elle engage des déplacements, des lieux, des appartenances et des formes de mémoire.</w:t>
      </w:r>
    </w:p>
    <w:p w14:paraId="3CFBF9E1" w14:textId="66FB5C43" w:rsidR="003C7861" w:rsidRPr="004249AC" w:rsidRDefault="00B21A6D" w:rsidP="00824627">
      <w:pPr>
        <w:jc w:val="both"/>
        <w:rPr>
          <w:rFonts w:ascii="Times New Roman" w:hAnsi="Times New Roman" w:cs="Times New Roman"/>
          <w:sz w:val="24"/>
          <w:szCs w:val="24"/>
          <w:lang w:val="fr-FR"/>
        </w:rPr>
      </w:pPr>
      <w:r w:rsidRPr="004249AC">
        <w:rPr>
          <w:rFonts w:ascii="Times New Roman" w:hAnsi="Times New Roman" w:cs="Times New Roman"/>
          <w:sz w:val="24"/>
          <w:szCs w:val="24"/>
          <w:lang w:val="fr-FR"/>
        </w:rPr>
        <w:t>En revanche</w:t>
      </w:r>
      <w:r w:rsidR="003C7861" w:rsidRPr="004249AC">
        <w:rPr>
          <w:rFonts w:ascii="Times New Roman" w:hAnsi="Times New Roman" w:cs="Times New Roman"/>
          <w:sz w:val="24"/>
          <w:szCs w:val="24"/>
          <w:lang w:val="fr-FR"/>
        </w:rPr>
        <w:t xml:space="preserve">, les conceptions de la mort ne </w:t>
      </w:r>
      <w:r w:rsidR="000A4E74" w:rsidRPr="004249AC">
        <w:rPr>
          <w:rFonts w:ascii="Times New Roman" w:hAnsi="Times New Roman" w:cs="Times New Roman"/>
          <w:sz w:val="24"/>
          <w:szCs w:val="24"/>
          <w:lang w:val="fr-FR"/>
        </w:rPr>
        <w:t xml:space="preserve">sont pas </w:t>
      </w:r>
      <w:r w:rsidR="00657A2F" w:rsidRPr="004249AC">
        <w:rPr>
          <w:rFonts w:ascii="Times New Roman" w:hAnsi="Times New Roman" w:cs="Times New Roman"/>
          <w:sz w:val="24"/>
          <w:szCs w:val="24"/>
          <w:lang w:val="fr-FR"/>
        </w:rPr>
        <w:t>stables</w:t>
      </w:r>
      <w:r w:rsidR="000A4E74" w:rsidRPr="004249AC">
        <w:rPr>
          <w:rFonts w:ascii="Times New Roman" w:hAnsi="Times New Roman" w:cs="Times New Roman"/>
          <w:sz w:val="24"/>
          <w:szCs w:val="24"/>
          <w:lang w:val="fr-FR"/>
        </w:rPr>
        <w:t xml:space="preserve"> </w:t>
      </w:r>
      <w:r w:rsidR="003C7861" w:rsidRPr="004249AC">
        <w:rPr>
          <w:rFonts w:ascii="Times New Roman" w:hAnsi="Times New Roman" w:cs="Times New Roman"/>
          <w:sz w:val="24"/>
          <w:szCs w:val="24"/>
          <w:lang w:val="fr-FR"/>
        </w:rPr>
        <w:t>ni dans le temps ni dans l'espace. Comme l'écrit Louer-</w:t>
      </w:r>
      <w:proofErr w:type="spellStart"/>
      <w:r w:rsidR="003C7861" w:rsidRPr="004249AC">
        <w:rPr>
          <w:rFonts w:ascii="Times New Roman" w:hAnsi="Times New Roman" w:cs="Times New Roman"/>
          <w:sz w:val="24"/>
          <w:szCs w:val="24"/>
          <w:lang w:val="fr-FR"/>
        </w:rPr>
        <w:t>Saingeorgie</w:t>
      </w:r>
      <w:proofErr w:type="spellEnd"/>
      <w:r w:rsidR="003C7861" w:rsidRPr="004249AC">
        <w:rPr>
          <w:rFonts w:ascii="Times New Roman" w:hAnsi="Times New Roman" w:cs="Times New Roman"/>
          <w:sz w:val="24"/>
          <w:szCs w:val="24"/>
          <w:lang w:val="fr-FR"/>
        </w:rPr>
        <w:t>, « les trajectoires des morts ne sont donc pas seulement individuelles, mais collectives et suivent des logiques familiales, économiques, sociales, culturelles et, surtout politiques » (2024, p. 6). Les modalités du mourir, le traitement des corps, les rites funéraires, les pratiques de commémoration ou les lieux d'inhumation font l'objet de négociations permanentes qui mobilisent des enjeux individuels, collectifs, juridiques, religieux et psychologiques.</w:t>
      </w:r>
    </w:p>
    <w:p w14:paraId="29AE071A" w14:textId="24F313DB" w:rsidR="003C7861" w:rsidRPr="004249AC" w:rsidRDefault="009D2677" w:rsidP="00824627">
      <w:pPr>
        <w:jc w:val="both"/>
        <w:rPr>
          <w:rFonts w:ascii="Times New Roman" w:hAnsi="Times New Roman" w:cs="Times New Roman"/>
          <w:sz w:val="24"/>
          <w:szCs w:val="24"/>
          <w:lang w:val="fr-FR"/>
        </w:rPr>
      </w:pPr>
      <w:r w:rsidRPr="004249AC">
        <w:rPr>
          <w:rFonts w:ascii="Times New Roman" w:hAnsi="Times New Roman" w:cs="Times New Roman"/>
          <w:sz w:val="24"/>
          <w:szCs w:val="24"/>
          <w:lang w:val="fr-FR"/>
        </w:rPr>
        <w:t>La mort apparaît ainsi comme un observatoire privilégié des sociétés et des rapports sociaux qui les traversent</w:t>
      </w:r>
      <w:r w:rsidR="003C7861" w:rsidRPr="004249AC">
        <w:rPr>
          <w:rFonts w:ascii="Times New Roman" w:hAnsi="Times New Roman" w:cs="Times New Roman"/>
          <w:sz w:val="24"/>
          <w:szCs w:val="24"/>
          <w:lang w:val="fr-FR"/>
        </w:rPr>
        <w:t xml:space="preserve">. </w:t>
      </w:r>
      <w:r w:rsidRPr="004249AC">
        <w:rPr>
          <w:rFonts w:ascii="Times New Roman" w:hAnsi="Times New Roman" w:cs="Times New Roman"/>
          <w:sz w:val="24"/>
          <w:szCs w:val="24"/>
          <w:lang w:val="fr-FR"/>
        </w:rPr>
        <w:t>Parmi les rapports sociaux qui façonnent les trajectoires des morts, le genre occupe une place centrale, quoique souvent moins visible que d'autres formes de différenciation sociale</w:t>
      </w:r>
      <w:r w:rsidR="003C7861" w:rsidRPr="004249AC">
        <w:rPr>
          <w:rFonts w:ascii="Times New Roman" w:hAnsi="Times New Roman" w:cs="Times New Roman"/>
          <w:sz w:val="24"/>
          <w:szCs w:val="24"/>
          <w:lang w:val="fr-FR"/>
        </w:rPr>
        <w:t>. Il façonne les expériences de la fin de vie, les responsabilités associées au soin des morts, les expressions socialement légitimes du deuil, les professions du funéraire, les pratiques mémorielles et les représentations de la mort. Pourtant, les articulations entre mort et genre demeurent encore relativement peu explorées dans leur diversité.</w:t>
      </w:r>
    </w:p>
    <w:p w14:paraId="4266D6A9" w14:textId="7EC6FE3D" w:rsidR="000A4E74" w:rsidRPr="004249AC" w:rsidRDefault="003C7861" w:rsidP="00F06451">
      <w:pPr>
        <w:jc w:val="both"/>
        <w:rPr>
          <w:rFonts w:ascii="Times New Roman" w:eastAsia="Times New Roman" w:hAnsi="Times New Roman" w:cs="Times New Roman"/>
          <w:sz w:val="24"/>
          <w:szCs w:val="24"/>
          <w:lang w:val="fr-FR" w:eastAsia="fr-FR"/>
        </w:rPr>
      </w:pPr>
      <w:r w:rsidRPr="004249AC">
        <w:rPr>
          <w:rFonts w:ascii="Times New Roman" w:hAnsi="Times New Roman" w:cs="Times New Roman"/>
          <w:sz w:val="24"/>
          <w:szCs w:val="24"/>
          <w:lang w:val="fr-FR"/>
        </w:rPr>
        <w:t xml:space="preserve">Ce numéro </w:t>
      </w:r>
      <w:r w:rsidR="000A4E74" w:rsidRPr="004249AC">
        <w:rPr>
          <w:rFonts w:ascii="Times New Roman" w:hAnsi="Times New Roman" w:cs="Times New Roman"/>
          <w:sz w:val="24"/>
          <w:szCs w:val="24"/>
          <w:lang w:val="fr-FR"/>
        </w:rPr>
        <w:t>thématique</w:t>
      </w:r>
      <w:r w:rsidRPr="004249AC">
        <w:rPr>
          <w:rFonts w:ascii="Times New Roman" w:hAnsi="Times New Roman" w:cs="Times New Roman"/>
          <w:sz w:val="24"/>
          <w:szCs w:val="24"/>
          <w:lang w:val="fr-FR"/>
        </w:rPr>
        <w:t xml:space="preserve"> entend contribuer à ce champ de réflexion en interrogeant la manière dont les rapports de genre façonnent les expériences de la mort, du deuil et de la mémoire. Il s'agit d'examiner non seulement la place des femmes, des hommes et des minorités de genre face à la mort, mais également les mécanismes par lesquels les normes de genre organisent les pratiques funéraires, distribuent les responsabilités liées aux morts, produisent des formes différenciées de visibilité ou d'invisibilité et participent à la construction des mémoires individuelles et collectives.</w:t>
      </w:r>
      <w:r w:rsidR="000A4E74" w:rsidRPr="004249AC">
        <w:rPr>
          <w:rFonts w:ascii="Times New Roman" w:hAnsi="Times New Roman" w:cs="Times New Roman"/>
          <w:sz w:val="24"/>
          <w:szCs w:val="24"/>
          <w:lang w:val="fr-FR"/>
        </w:rPr>
        <w:t xml:space="preserve"> En </w:t>
      </w:r>
      <w:r w:rsidR="00CA4687" w:rsidRPr="004249AC">
        <w:rPr>
          <w:rFonts w:ascii="Times New Roman" w:hAnsi="Times New Roman" w:cs="Times New Roman"/>
          <w:sz w:val="24"/>
          <w:szCs w:val="24"/>
          <w:lang w:val="fr-FR"/>
        </w:rPr>
        <w:t xml:space="preserve">plaçant le genre au cœur de la </w:t>
      </w:r>
      <w:r w:rsidR="00F06451" w:rsidRPr="004249AC">
        <w:rPr>
          <w:rFonts w:ascii="Times New Roman" w:hAnsi="Times New Roman" w:cs="Times New Roman"/>
          <w:sz w:val="24"/>
          <w:szCs w:val="24"/>
          <w:lang w:val="fr-FR"/>
        </w:rPr>
        <w:t>réflexion</w:t>
      </w:r>
      <w:r w:rsidR="00CA4687" w:rsidRPr="004249AC">
        <w:rPr>
          <w:rFonts w:ascii="Times New Roman" w:hAnsi="Times New Roman" w:cs="Times New Roman"/>
          <w:sz w:val="24"/>
          <w:szCs w:val="24"/>
          <w:lang w:val="fr-FR"/>
        </w:rPr>
        <w:t xml:space="preserve">, ce numéro </w:t>
      </w:r>
      <w:r w:rsidR="00F06451" w:rsidRPr="004249AC">
        <w:rPr>
          <w:rFonts w:ascii="Times New Roman" w:hAnsi="Times New Roman" w:cs="Times New Roman"/>
          <w:sz w:val="24"/>
          <w:szCs w:val="24"/>
          <w:lang w:val="fr-FR"/>
        </w:rPr>
        <w:t xml:space="preserve">souhaite contribuer à une interrogation plus large sur les inégalités qui traversent les mondes de la mort. </w:t>
      </w:r>
      <w:r w:rsidR="00F06451" w:rsidRPr="004249AC">
        <w:rPr>
          <w:rStyle w:val="lev"/>
          <w:rFonts w:ascii="Times New Roman" w:hAnsi="Times New Roman" w:cs="Times New Roman"/>
          <w:b w:val="0"/>
          <w:bCs w:val="0"/>
          <w:sz w:val="24"/>
          <w:szCs w:val="24"/>
          <w:lang w:val="fr-FR"/>
        </w:rPr>
        <w:t>Q</w:t>
      </w:r>
      <w:r w:rsidR="000A4E74" w:rsidRPr="004249AC">
        <w:rPr>
          <w:rStyle w:val="lev"/>
          <w:rFonts w:ascii="Times New Roman" w:hAnsi="Times New Roman" w:cs="Times New Roman"/>
          <w:b w:val="0"/>
          <w:bCs w:val="0"/>
          <w:sz w:val="24"/>
          <w:szCs w:val="24"/>
          <w:lang w:val="fr-FR"/>
        </w:rPr>
        <w:t xml:space="preserve">ui prend soin des morts </w:t>
      </w:r>
      <w:r w:rsidR="00F06451" w:rsidRPr="004249AC">
        <w:rPr>
          <w:rStyle w:val="lev"/>
          <w:rFonts w:ascii="Times New Roman" w:hAnsi="Times New Roman" w:cs="Times New Roman"/>
          <w:b w:val="0"/>
          <w:bCs w:val="0"/>
          <w:sz w:val="24"/>
          <w:szCs w:val="24"/>
          <w:lang w:val="fr-FR"/>
        </w:rPr>
        <w:t xml:space="preserve">et des </w:t>
      </w:r>
      <w:r w:rsidR="00657A2F" w:rsidRPr="004249AC">
        <w:rPr>
          <w:rStyle w:val="lev"/>
          <w:rFonts w:ascii="Times New Roman" w:hAnsi="Times New Roman" w:cs="Times New Roman"/>
          <w:b w:val="0"/>
          <w:bCs w:val="0"/>
          <w:sz w:val="24"/>
          <w:szCs w:val="24"/>
          <w:lang w:val="fr-FR"/>
        </w:rPr>
        <w:t>mourants ?</w:t>
      </w:r>
      <w:r w:rsidR="000A4E74" w:rsidRPr="004249AC">
        <w:rPr>
          <w:rStyle w:val="lev"/>
          <w:rFonts w:ascii="Times New Roman" w:hAnsi="Times New Roman" w:cs="Times New Roman"/>
          <w:b w:val="0"/>
          <w:bCs w:val="0"/>
          <w:sz w:val="24"/>
          <w:szCs w:val="24"/>
          <w:lang w:val="fr-FR"/>
        </w:rPr>
        <w:t xml:space="preserve"> qui est autorisé à parler en leur nom ? quels morts sont visibles ?</w:t>
      </w:r>
      <w:r w:rsidR="000A4E74" w:rsidRPr="004249AC">
        <w:rPr>
          <w:rStyle w:val="lev"/>
          <w:rFonts w:ascii="Times New Roman" w:hAnsi="Times New Roman" w:cs="Times New Roman"/>
          <w:sz w:val="24"/>
          <w:szCs w:val="24"/>
          <w:lang w:val="fr-FR"/>
        </w:rPr>
        <w:t xml:space="preserve"> </w:t>
      </w:r>
      <w:r w:rsidR="00F06451" w:rsidRPr="004249AC">
        <w:rPr>
          <w:rFonts w:ascii="Times New Roman" w:hAnsi="Times New Roman" w:cs="Times New Roman"/>
          <w:sz w:val="24"/>
          <w:szCs w:val="24"/>
          <w:lang w:val="fr-FR"/>
        </w:rPr>
        <w:t xml:space="preserve">Quels morts sont rendus visibles dans l'espace public et lesquels demeurent à la </w:t>
      </w:r>
      <w:r w:rsidR="00F06451" w:rsidRPr="004249AC">
        <w:rPr>
          <w:rFonts w:ascii="Times New Roman" w:hAnsi="Times New Roman" w:cs="Times New Roman"/>
          <w:sz w:val="24"/>
          <w:szCs w:val="24"/>
          <w:lang w:val="fr-FR"/>
        </w:rPr>
        <w:lastRenderedPageBreak/>
        <w:t>marge ? Dans quelle mesure les inégalités observées au cours de la vie se prolongent-elles après la mort ?</w:t>
      </w:r>
      <w:r w:rsidR="00657A2F" w:rsidRPr="004249AC">
        <w:rPr>
          <w:rFonts w:ascii="Times New Roman" w:hAnsi="Times New Roman" w:cs="Times New Roman"/>
          <w:sz w:val="24"/>
          <w:szCs w:val="24"/>
          <w:lang w:val="fr-FR"/>
        </w:rPr>
        <w:t xml:space="preserve"> </w:t>
      </w:r>
      <w:r w:rsidR="000A4E74" w:rsidRPr="004249AC">
        <w:rPr>
          <w:rFonts w:ascii="Times New Roman" w:eastAsia="Times New Roman" w:hAnsi="Times New Roman" w:cs="Times New Roman"/>
          <w:sz w:val="24"/>
          <w:szCs w:val="24"/>
          <w:lang w:val="fr-FR" w:eastAsia="fr-FR"/>
        </w:rPr>
        <w:t xml:space="preserve">Les contributions pourraient s’inscrire dans l’une des thématiques suivantes </w:t>
      </w:r>
    </w:p>
    <w:p w14:paraId="7E45FC2A" w14:textId="544DB5FF" w:rsidR="000A4E74" w:rsidRPr="004249AC" w:rsidRDefault="000A4E74" w:rsidP="000A4E74">
      <w:pPr>
        <w:shd w:val="clear" w:color="auto" w:fill="FFFFFF"/>
        <w:spacing w:line="240" w:lineRule="auto"/>
        <w:jc w:val="both"/>
        <w:rPr>
          <w:rFonts w:ascii="Times New Roman" w:eastAsia="Times New Roman" w:hAnsi="Times New Roman" w:cs="Times New Roman"/>
          <w:sz w:val="24"/>
          <w:szCs w:val="24"/>
          <w:lang w:val="fr-FR" w:eastAsia="fr-FR"/>
        </w:rPr>
      </w:pPr>
      <w:r w:rsidRPr="004249AC">
        <w:rPr>
          <w:rFonts w:ascii="Times New Roman" w:eastAsia="Times New Roman" w:hAnsi="Times New Roman" w:cs="Times New Roman"/>
          <w:b/>
          <w:bCs/>
          <w:sz w:val="24"/>
          <w:szCs w:val="24"/>
          <w:lang w:val="fr-FR" w:eastAsia="fr-FR"/>
        </w:rPr>
        <w:t xml:space="preserve">1/ Genre et expériences de la fin de vie : </w:t>
      </w:r>
      <w:r w:rsidR="00457DC7" w:rsidRPr="004249AC">
        <w:rPr>
          <w:rFonts w:ascii="Times New Roman" w:eastAsia="Times New Roman" w:hAnsi="Times New Roman" w:cs="Times New Roman"/>
          <w:sz w:val="24"/>
          <w:szCs w:val="24"/>
          <w:lang w:val="fr-FR" w:eastAsia="fr-FR"/>
        </w:rPr>
        <w:t xml:space="preserve">La fin de vie est souvent présentée comme une </w:t>
      </w:r>
      <w:r w:rsidR="00657A2F" w:rsidRPr="004249AC">
        <w:rPr>
          <w:rFonts w:ascii="Times New Roman" w:eastAsia="Times New Roman" w:hAnsi="Times New Roman" w:cs="Times New Roman"/>
          <w:sz w:val="24"/>
          <w:szCs w:val="24"/>
          <w:lang w:val="fr-FR" w:eastAsia="fr-FR"/>
        </w:rPr>
        <w:t>expérience</w:t>
      </w:r>
      <w:r w:rsidR="00457DC7" w:rsidRPr="004249AC">
        <w:rPr>
          <w:rFonts w:ascii="Times New Roman" w:eastAsia="Times New Roman" w:hAnsi="Times New Roman" w:cs="Times New Roman"/>
          <w:sz w:val="24"/>
          <w:szCs w:val="24"/>
          <w:lang w:val="fr-FR" w:eastAsia="fr-FR"/>
        </w:rPr>
        <w:t xml:space="preserve"> universelle </w:t>
      </w:r>
      <w:r w:rsidR="00457DC7" w:rsidRPr="004249AC">
        <w:rPr>
          <w:rFonts w:ascii="Times New Roman" w:hAnsi="Times New Roman" w:cs="Times New Roman"/>
          <w:sz w:val="24"/>
          <w:szCs w:val="24"/>
          <w:lang w:val="fr-FR"/>
        </w:rPr>
        <w:t xml:space="preserve">Pourtant, les conditions dans lesquelles les individus vieillissent, tombent malades, sont accompagnés ou meurent demeurent profondément marquées par les rapports sociaux et les normes de genre. Qui prend soin des mourants ? Qui est désigné comme proche aidant ? Comment les attentes associées à la féminité, à la masculinité ou aux identités de genre minoritaires influencent-elles les expériences du mourir et la « bonne mort » </w:t>
      </w:r>
      <w:r w:rsidR="00457DC7" w:rsidRPr="004249AC">
        <w:rPr>
          <w:rFonts w:ascii="Times New Roman" w:eastAsia="Times New Roman" w:hAnsi="Times New Roman" w:cs="Times New Roman"/>
          <w:sz w:val="24"/>
          <w:szCs w:val="24"/>
          <w:lang w:val="fr-FR" w:eastAsia="fr-FR"/>
        </w:rPr>
        <w:t>(Walter, 1994)</w:t>
      </w:r>
      <w:r w:rsidR="005F47D6" w:rsidRPr="004249AC">
        <w:rPr>
          <w:rFonts w:ascii="Times New Roman" w:eastAsia="Times New Roman" w:hAnsi="Times New Roman" w:cs="Times New Roman"/>
          <w:sz w:val="24"/>
          <w:szCs w:val="24"/>
          <w:lang w:val="fr-FR" w:eastAsia="fr-FR"/>
        </w:rPr>
        <w:t xml:space="preserve"> </w:t>
      </w:r>
      <w:r w:rsidR="00457DC7" w:rsidRPr="004249AC">
        <w:rPr>
          <w:rFonts w:ascii="Times New Roman" w:hAnsi="Times New Roman" w:cs="Times New Roman"/>
          <w:sz w:val="24"/>
          <w:szCs w:val="24"/>
          <w:lang w:val="fr-FR"/>
        </w:rPr>
        <w:t xml:space="preserve">? </w:t>
      </w:r>
    </w:p>
    <w:p w14:paraId="5DE7D13D" w14:textId="24E83234" w:rsidR="000A4E74" w:rsidRPr="004249AC" w:rsidRDefault="000A4E74" w:rsidP="000A4E74">
      <w:pPr>
        <w:shd w:val="clear" w:color="auto" w:fill="FFFFFF"/>
        <w:spacing w:line="240" w:lineRule="auto"/>
        <w:jc w:val="both"/>
        <w:rPr>
          <w:rFonts w:ascii="Times New Roman" w:eastAsia="Times New Roman" w:hAnsi="Times New Roman" w:cs="Times New Roman"/>
          <w:b/>
          <w:bCs/>
          <w:sz w:val="24"/>
          <w:szCs w:val="24"/>
          <w:lang w:val="fr-FR" w:eastAsia="fr-FR"/>
        </w:rPr>
      </w:pPr>
      <w:r w:rsidRPr="004249AC">
        <w:rPr>
          <w:rFonts w:ascii="Times New Roman" w:eastAsia="Times New Roman" w:hAnsi="Times New Roman" w:cs="Times New Roman"/>
          <w:b/>
          <w:bCs/>
          <w:sz w:val="24"/>
          <w:szCs w:val="24"/>
          <w:lang w:val="fr-FR" w:eastAsia="fr-FR"/>
        </w:rPr>
        <w:t xml:space="preserve">2/ Le travail funéraire et la division genrée </w:t>
      </w:r>
      <w:r w:rsidR="00F06451" w:rsidRPr="004249AC">
        <w:rPr>
          <w:rFonts w:ascii="Times New Roman" w:eastAsia="Times New Roman" w:hAnsi="Times New Roman" w:cs="Times New Roman"/>
          <w:b/>
          <w:bCs/>
          <w:sz w:val="24"/>
          <w:szCs w:val="24"/>
          <w:lang w:val="fr-FR" w:eastAsia="fr-FR"/>
        </w:rPr>
        <w:t xml:space="preserve">autour de la mort </w:t>
      </w:r>
    </w:p>
    <w:p w14:paraId="74F70743" w14:textId="6D13788A" w:rsidR="00322EBE" w:rsidRPr="004249AC" w:rsidRDefault="00322EBE" w:rsidP="000A4E74">
      <w:pPr>
        <w:shd w:val="clear" w:color="auto" w:fill="FFFFFF"/>
        <w:spacing w:line="240" w:lineRule="auto"/>
        <w:jc w:val="both"/>
        <w:rPr>
          <w:rFonts w:ascii="Times New Roman" w:eastAsia="Times New Roman" w:hAnsi="Times New Roman" w:cs="Times New Roman"/>
          <w:sz w:val="24"/>
          <w:szCs w:val="24"/>
          <w:lang w:val="fr-FR" w:eastAsia="fr-FR"/>
        </w:rPr>
      </w:pPr>
      <w:r w:rsidRPr="004249AC">
        <w:rPr>
          <w:rFonts w:ascii="Times New Roman" w:hAnsi="Times New Roman" w:cs="Times New Roman"/>
          <w:sz w:val="24"/>
          <w:szCs w:val="24"/>
          <w:lang w:val="fr-FR"/>
        </w:rPr>
        <w:t>La prise en charge des morts repose sur une multitude de tâches matérielles, administratives, émotionnelles, religieuses et symboliques qui demeurent souvent invisibles. Qui lave les corps ? Qui prépare les funérailles ? Qui accompagne les familles endeuillées ? Qui entretient les tombes ou transmet la mémoire des disparus ? Derrière ces gestes se dessine une division du travail qui n'est ni neutre ni naturelle. Les contributions pourront explorer la répartition genrée des responsabilités dans les sphères familiales, religieuses, associatives ou professionnelles, ainsi que les hiérarchies qui traversent les métiers du soin, du funéraire et du travail mémoriel.</w:t>
      </w:r>
    </w:p>
    <w:p w14:paraId="2BF37909" w14:textId="70FA7D9D" w:rsidR="00322EBE" w:rsidRPr="004249AC" w:rsidRDefault="000A4E74" w:rsidP="000A4E74">
      <w:pPr>
        <w:shd w:val="clear" w:color="auto" w:fill="FFFFFF"/>
        <w:spacing w:line="240" w:lineRule="auto"/>
        <w:jc w:val="both"/>
        <w:rPr>
          <w:rFonts w:ascii="Times New Roman" w:eastAsia="Times New Roman" w:hAnsi="Times New Roman" w:cs="Times New Roman"/>
          <w:b/>
          <w:bCs/>
          <w:sz w:val="24"/>
          <w:szCs w:val="24"/>
          <w:lang w:val="fr-FR" w:eastAsia="fr-FR"/>
        </w:rPr>
      </w:pPr>
      <w:r w:rsidRPr="004249AC">
        <w:rPr>
          <w:rFonts w:ascii="Times New Roman" w:eastAsia="Times New Roman" w:hAnsi="Times New Roman" w:cs="Times New Roman"/>
          <w:b/>
          <w:bCs/>
          <w:sz w:val="24"/>
          <w:szCs w:val="24"/>
          <w:lang w:val="fr-FR" w:eastAsia="fr-FR"/>
        </w:rPr>
        <w:t xml:space="preserve">3/ </w:t>
      </w:r>
      <w:r w:rsidR="00F06451" w:rsidRPr="004249AC">
        <w:rPr>
          <w:rFonts w:ascii="Times New Roman" w:eastAsia="Times New Roman" w:hAnsi="Times New Roman" w:cs="Times New Roman"/>
          <w:b/>
          <w:bCs/>
          <w:sz w:val="24"/>
          <w:szCs w:val="24"/>
          <w:lang w:val="fr-FR" w:eastAsia="fr-FR"/>
        </w:rPr>
        <w:t>Migrations, guerres, disparition : les morts comme enjeux de mobilisation</w:t>
      </w:r>
    </w:p>
    <w:p w14:paraId="147889C7" w14:textId="592414DB" w:rsidR="00322EBE" w:rsidRPr="004249AC" w:rsidRDefault="00426D70" w:rsidP="000A4E74">
      <w:pPr>
        <w:shd w:val="clear" w:color="auto" w:fill="FFFFFF"/>
        <w:spacing w:line="240" w:lineRule="auto"/>
        <w:jc w:val="both"/>
        <w:rPr>
          <w:rFonts w:ascii="Times New Roman" w:eastAsia="Times New Roman" w:hAnsi="Times New Roman" w:cs="Times New Roman"/>
          <w:sz w:val="24"/>
          <w:szCs w:val="24"/>
          <w:lang w:val="fr-FR" w:eastAsia="fr-FR"/>
        </w:rPr>
      </w:pPr>
      <w:r w:rsidRPr="004249AC">
        <w:rPr>
          <w:rFonts w:ascii="Times New Roman" w:hAnsi="Times New Roman" w:cs="Times New Roman"/>
          <w:sz w:val="24"/>
          <w:szCs w:val="24"/>
          <w:lang w:val="fr-FR"/>
        </w:rPr>
        <w:t xml:space="preserve">La mort ne relève pas toujours de la seule sphère privée. Les guerres, les migrations, les catastrophes, les disparitions forcées ou les violences politiques produisent des morts dont l'identification, le rapatriement, l'inhumation ou la commémoration deviennent des enjeux publics. Dans de nombreux contextes, les femmes apparaissent au premier plan des mobilisations autour des disparus et des </w:t>
      </w:r>
      <w:r w:rsidR="00F06451" w:rsidRPr="004249AC">
        <w:rPr>
          <w:rFonts w:ascii="Times New Roman" w:hAnsi="Times New Roman" w:cs="Times New Roman"/>
          <w:sz w:val="24"/>
          <w:szCs w:val="24"/>
          <w:lang w:val="fr-FR"/>
        </w:rPr>
        <w:t>victimes</w:t>
      </w:r>
      <w:r w:rsidRPr="004249AC">
        <w:rPr>
          <w:rFonts w:ascii="Times New Roman" w:hAnsi="Times New Roman" w:cs="Times New Roman"/>
          <w:sz w:val="24"/>
          <w:szCs w:val="24"/>
          <w:lang w:val="fr-FR"/>
        </w:rPr>
        <w:t>. Comment le deuil se transforme-t-il en engagement politique ? Comment les rapports de genre façonnent-ils les formes de mobilisation, les revendications et les usages publics de la mémoire</w:t>
      </w:r>
      <w:r w:rsidR="00F06451" w:rsidRPr="004249AC">
        <w:rPr>
          <w:rFonts w:ascii="Times New Roman" w:hAnsi="Times New Roman" w:cs="Times New Roman"/>
          <w:sz w:val="24"/>
          <w:szCs w:val="24"/>
          <w:lang w:val="fr-FR"/>
        </w:rPr>
        <w:t xml:space="preserve"> ? </w:t>
      </w:r>
      <w:r w:rsidR="001842DE" w:rsidRPr="004249AC">
        <w:rPr>
          <w:rFonts w:ascii="Times New Roman" w:hAnsi="Times New Roman" w:cs="Times New Roman"/>
          <w:sz w:val="24"/>
          <w:szCs w:val="24"/>
          <w:lang w:val="fr-FR"/>
        </w:rPr>
        <w:t>P</w:t>
      </w:r>
      <w:r w:rsidR="00F06451" w:rsidRPr="004249AC">
        <w:rPr>
          <w:rFonts w:ascii="Times New Roman" w:hAnsi="Times New Roman" w:cs="Times New Roman"/>
          <w:sz w:val="24"/>
          <w:szCs w:val="24"/>
          <w:lang w:val="fr-FR"/>
        </w:rPr>
        <w:t xml:space="preserve">ourquoi les femmes se retrouvent-elles souvent à l’avant-scène de ces combats ? </w:t>
      </w:r>
    </w:p>
    <w:p w14:paraId="49390625" w14:textId="2A84665D" w:rsidR="000A4E74" w:rsidRPr="004249AC" w:rsidRDefault="000A4E74" w:rsidP="00426D70">
      <w:pPr>
        <w:shd w:val="clear" w:color="auto" w:fill="FFFFFF"/>
        <w:spacing w:line="240" w:lineRule="auto"/>
        <w:jc w:val="both"/>
        <w:rPr>
          <w:rFonts w:ascii="Times New Roman" w:hAnsi="Times New Roman" w:cs="Times New Roman"/>
          <w:b/>
          <w:bCs/>
          <w:sz w:val="24"/>
          <w:szCs w:val="24"/>
          <w:lang w:val="fr-FR"/>
        </w:rPr>
      </w:pPr>
      <w:r w:rsidRPr="004249AC">
        <w:rPr>
          <w:rFonts w:ascii="Times New Roman" w:eastAsia="Times New Roman" w:hAnsi="Times New Roman" w:cs="Times New Roman"/>
          <w:b/>
          <w:bCs/>
          <w:sz w:val="24"/>
          <w:szCs w:val="24"/>
          <w:lang w:val="fr-FR" w:eastAsia="fr-FR"/>
        </w:rPr>
        <w:t xml:space="preserve">4/ </w:t>
      </w:r>
      <w:r w:rsidR="00426D70" w:rsidRPr="004249AC">
        <w:rPr>
          <w:rFonts w:ascii="Times New Roman" w:eastAsia="Times New Roman" w:hAnsi="Times New Roman" w:cs="Times New Roman"/>
          <w:b/>
          <w:bCs/>
          <w:sz w:val="24"/>
          <w:szCs w:val="24"/>
          <w:lang w:val="fr-FR" w:eastAsia="fr-FR"/>
        </w:rPr>
        <w:t xml:space="preserve">Mort, genre et inégalités </w:t>
      </w:r>
    </w:p>
    <w:p w14:paraId="60318EFB" w14:textId="6AF9F314" w:rsidR="004249AC" w:rsidRDefault="00426D70" w:rsidP="00824627">
      <w:pPr>
        <w:jc w:val="both"/>
        <w:rPr>
          <w:rFonts w:ascii="Times New Roman" w:hAnsi="Times New Roman" w:cs="Times New Roman"/>
          <w:sz w:val="24"/>
          <w:szCs w:val="24"/>
          <w:lang w:val="fr-FR"/>
        </w:rPr>
      </w:pPr>
      <w:r w:rsidRPr="004249AC">
        <w:rPr>
          <w:rFonts w:ascii="Times New Roman" w:hAnsi="Times New Roman" w:cs="Times New Roman"/>
          <w:sz w:val="24"/>
          <w:szCs w:val="24"/>
          <w:lang w:val="fr-FR"/>
        </w:rPr>
        <w:t xml:space="preserve">La mort constitue un observatoire privilégié des inégalités sociales. Toutes les vies ne bénéficient pas de la même reconnaissance, et toutes les morts ne font pas l'objet du même traitement. Les contributions sont invitées à explorer l'articulation du genre avec d'autres rapports sociaux tels que la classe, la race, l'ethnicité, la religion, l'âge, le handicap ou les trajectoires migratoires. Qui a accès à certains rites funéraires ? Quels groupes rencontrent des obstacles dans l'accès à l'inhumation, au rapatriement ou à la commémoration ? Certaines morts sont-elles davantage visibles, médiatisées ou reconnues que d'autres ? </w:t>
      </w:r>
      <w:r w:rsidR="00F06451" w:rsidRPr="004249AC">
        <w:rPr>
          <w:rFonts w:ascii="Times New Roman" w:hAnsi="Times New Roman" w:cs="Times New Roman"/>
          <w:sz w:val="24"/>
          <w:szCs w:val="24"/>
          <w:lang w:val="fr-FR"/>
        </w:rPr>
        <w:t xml:space="preserve">Quelles populations rencontrent des obstacles spécifiques dans l'accès aux droits funéraires ou à la reconnaissance mémorielle ? </w:t>
      </w:r>
      <w:r w:rsidRPr="004249AC">
        <w:rPr>
          <w:rFonts w:ascii="Times New Roman" w:hAnsi="Times New Roman" w:cs="Times New Roman"/>
          <w:sz w:val="24"/>
          <w:szCs w:val="24"/>
          <w:lang w:val="fr-FR"/>
        </w:rPr>
        <w:t>Les approches intersectionnelles permettant d'analyser les mécanismes de reconnaissance, d'exclusion ou d'invisibilisation seront particulièrement bienvenues.</w:t>
      </w:r>
    </w:p>
    <w:p w14:paraId="37280DFC" w14:textId="6E0931F7" w:rsidR="004249AC" w:rsidRPr="004249AC" w:rsidRDefault="004249AC" w:rsidP="00824627">
      <w:pPr>
        <w:jc w:val="both"/>
        <w:rPr>
          <w:rFonts w:ascii="Times New Roman" w:hAnsi="Times New Roman" w:cs="Times New Roman"/>
          <w:b/>
          <w:sz w:val="24"/>
          <w:szCs w:val="24"/>
          <w:lang w:val="fr-FR"/>
        </w:rPr>
      </w:pPr>
      <w:r w:rsidRPr="004249AC">
        <w:rPr>
          <w:rFonts w:ascii="Times New Roman" w:hAnsi="Times New Roman" w:cs="Times New Roman"/>
          <w:b/>
          <w:sz w:val="24"/>
          <w:szCs w:val="24"/>
          <w:lang w:val="fr-FR"/>
        </w:rPr>
        <w:t>Bibliographie :</w:t>
      </w:r>
    </w:p>
    <w:p w14:paraId="41C7E764" w14:textId="77777777" w:rsidR="004249AC" w:rsidRPr="004249AC" w:rsidRDefault="004249AC" w:rsidP="00824627">
      <w:pPr>
        <w:jc w:val="both"/>
        <w:rPr>
          <w:rFonts w:ascii="Times New Roman" w:hAnsi="Times New Roman" w:cs="Times New Roman"/>
          <w:sz w:val="24"/>
          <w:szCs w:val="24"/>
          <w:lang w:val="fr-FR"/>
        </w:rPr>
      </w:pPr>
    </w:p>
    <w:p w14:paraId="3B136B6F" w14:textId="7C88832F" w:rsidR="00F06451" w:rsidRPr="004249AC" w:rsidRDefault="00F06451" w:rsidP="00FC62D9">
      <w:pPr>
        <w:pStyle w:val="NormalWeb"/>
        <w:spacing w:before="0" w:beforeAutospacing="0" w:after="0" w:afterAutospacing="0" w:line="276" w:lineRule="auto"/>
        <w:jc w:val="both"/>
        <w:rPr>
          <w:rStyle w:val="Lienhypertexte"/>
          <w:rFonts w:eastAsia="Calibri"/>
          <w:color w:val="auto"/>
        </w:rPr>
      </w:pPr>
      <w:r w:rsidRPr="004249AC">
        <w:t>Afiouni, N. (2019). Transformations des lieux d’inhumation des musulmans dans le grand Londres.</w:t>
      </w:r>
      <w:r w:rsidRPr="004249AC">
        <w:rPr>
          <w:i/>
          <w:iCs/>
        </w:rPr>
        <w:t> Revue Des Mondes Musulmans Et De La Méditerranée, 146</w:t>
      </w:r>
      <w:r w:rsidRPr="004249AC">
        <w:t>(2), 139-154. </w:t>
      </w:r>
      <w:hyperlink r:id="rId7" w:tgtFrame="_blank" w:history="1">
        <w:r w:rsidRPr="004249AC">
          <w:rPr>
            <w:rStyle w:val="Lienhypertexte"/>
            <w:rFonts w:eastAsia="Calibri"/>
            <w:color w:val="auto"/>
          </w:rPr>
          <w:t>https://doi.org/10.4000/remmm.13769</w:t>
        </w:r>
      </w:hyperlink>
    </w:p>
    <w:p w14:paraId="36E49B2E" w14:textId="77777777" w:rsidR="00F06451" w:rsidRPr="004249AC" w:rsidRDefault="00F06451" w:rsidP="00FC62D9">
      <w:pPr>
        <w:spacing w:after="0" w:line="276" w:lineRule="auto"/>
        <w:jc w:val="both"/>
        <w:rPr>
          <w:rFonts w:ascii="Times New Roman" w:hAnsi="Times New Roman" w:cs="Times New Roman"/>
          <w:sz w:val="24"/>
          <w:szCs w:val="24"/>
          <w:lang w:val="fr-FR"/>
        </w:rPr>
      </w:pPr>
      <w:r w:rsidRPr="004249AC">
        <w:rPr>
          <w:rFonts w:ascii="Times New Roman" w:hAnsi="Times New Roman" w:cs="Times New Roman"/>
          <w:sz w:val="24"/>
          <w:szCs w:val="24"/>
          <w:lang w:val="fr-FR"/>
        </w:rPr>
        <w:t>Afiouni, N. (2024). Les carrés musulmans pendant la pandémie de Covid-19. L’exemple des cimetières municipaux du Havre et de Southampton.</w:t>
      </w:r>
      <w:r w:rsidRPr="004249AC">
        <w:rPr>
          <w:rFonts w:ascii="Times New Roman" w:hAnsi="Times New Roman" w:cs="Times New Roman"/>
          <w:i/>
          <w:iCs/>
          <w:sz w:val="24"/>
          <w:szCs w:val="24"/>
          <w:lang w:val="fr-FR"/>
        </w:rPr>
        <w:t xml:space="preserve"> Migrations Société</w:t>
      </w:r>
      <w:r w:rsidRPr="004249AC">
        <w:rPr>
          <w:rFonts w:ascii="Times New Roman" w:hAnsi="Times New Roman" w:cs="Times New Roman"/>
          <w:sz w:val="24"/>
          <w:szCs w:val="24"/>
          <w:lang w:val="fr-FR"/>
        </w:rPr>
        <w:t>, </w:t>
      </w:r>
      <w:r w:rsidRPr="004249AC">
        <w:rPr>
          <w:rFonts w:ascii="Times New Roman" w:hAnsi="Times New Roman" w:cs="Times New Roman"/>
          <w:i/>
          <w:iCs/>
          <w:sz w:val="24"/>
          <w:szCs w:val="24"/>
          <w:lang w:val="fr-FR"/>
        </w:rPr>
        <w:t>195</w:t>
      </w:r>
      <w:r w:rsidRPr="004249AC">
        <w:rPr>
          <w:rFonts w:ascii="Times New Roman" w:hAnsi="Times New Roman" w:cs="Times New Roman"/>
          <w:sz w:val="24"/>
          <w:szCs w:val="24"/>
          <w:lang w:val="fr-FR"/>
        </w:rPr>
        <w:t>(1), 87-99.</w:t>
      </w:r>
    </w:p>
    <w:p w14:paraId="0DE98666" w14:textId="77777777" w:rsidR="00F06451" w:rsidRPr="004249AC" w:rsidRDefault="00F06451" w:rsidP="00FC62D9">
      <w:pPr>
        <w:pStyle w:val="NormalWeb"/>
        <w:spacing w:before="0" w:beforeAutospacing="0" w:after="0" w:afterAutospacing="0" w:line="276" w:lineRule="auto"/>
        <w:jc w:val="both"/>
      </w:pPr>
      <w:r w:rsidRPr="004249AC">
        <w:rPr>
          <w:lang w:val="en-US"/>
        </w:rPr>
        <w:t>Anderson, J. (2015). </w:t>
      </w:r>
      <w:r w:rsidRPr="004249AC">
        <w:rPr>
          <w:i/>
          <w:iCs/>
          <w:lang w:val="en-US"/>
        </w:rPr>
        <w:t>Understanding cultural geography: Places and traces</w:t>
      </w:r>
      <w:r w:rsidRPr="004249AC">
        <w:rPr>
          <w:lang w:val="en-US"/>
        </w:rPr>
        <w:t> (2</w:t>
      </w:r>
      <w:r w:rsidRPr="004249AC">
        <w:rPr>
          <w:vertAlign w:val="superscript"/>
          <w:lang w:val="en-US"/>
        </w:rPr>
        <w:t>nd</w:t>
      </w:r>
      <w:r w:rsidRPr="004249AC">
        <w:rPr>
          <w:lang w:val="en-US"/>
        </w:rPr>
        <w:t xml:space="preserve"> ed.). </w:t>
      </w:r>
      <w:r w:rsidRPr="004249AC">
        <w:t>Routledge. </w:t>
      </w:r>
      <w:hyperlink r:id="rId8" w:tgtFrame="_blank" w:history="1">
        <w:r w:rsidRPr="004249AC">
          <w:rPr>
            <w:rStyle w:val="Lienhypertexte"/>
            <w:rFonts w:eastAsia="Calibri"/>
            <w:color w:val="auto"/>
          </w:rPr>
          <w:t>https://doi.org/10.4324/9781315819945</w:t>
        </w:r>
      </w:hyperlink>
    </w:p>
    <w:p w14:paraId="468504D8" w14:textId="77777777" w:rsidR="00F06451" w:rsidRPr="004249AC" w:rsidRDefault="00F06451" w:rsidP="00FC62D9">
      <w:pPr>
        <w:spacing w:after="0" w:line="276" w:lineRule="auto"/>
        <w:jc w:val="both"/>
        <w:rPr>
          <w:rFonts w:ascii="Times New Roman" w:hAnsi="Times New Roman" w:cs="Times New Roman"/>
          <w:sz w:val="24"/>
          <w:szCs w:val="24"/>
        </w:rPr>
      </w:pPr>
      <w:r w:rsidRPr="004249AC">
        <w:rPr>
          <w:rFonts w:ascii="Times New Roman" w:hAnsi="Times New Roman" w:cs="Times New Roman"/>
          <w:sz w:val="24"/>
          <w:szCs w:val="24"/>
          <w:lang w:val="fr-FR"/>
        </w:rPr>
        <w:t xml:space="preserve">Ariès, P. (1977). </w:t>
      </w:r>
      <w:r w:rsidRPr="004249AC">
        <w:rPr>
          <w:rFonts w:ascii="Times New Roman" w:hAnsi="Times New Roman" w:cs="Times New Roman"/>
          <w:i/>
          <w:iCs/>
          <w:sz w:val="24"/>
          <w:szCs w:val="24"/>
          <w:lang w:val="fr-FR"/>
        </w:rPr>
        <w:t>L’homme devant la mort.</w:t>
      </w:r>
      <w:r w:rsidRPr="004249AC">
        <w:rPr>
          <w:rFonts w:ascii="Times New Roman" w:hAnsi="Times New Roman" w:cs="Times New Roman"/>
          <w:sz w:val="24"/>
          <w:szCs w:val="24"/>
          <w:lang w:val="fr-FR"/>
        </w:rPr>
        <w:t> </w:t>
      </w:r>
      <w:r w:rsidRPr="004249AC">
        <w:rPr>
          <w:rFonts w:ascii="Times New Roman" w:hAnsi="Times New Roman" w:cs="Times New Roman"/>
          <w:sz w:val="24"/>
          <w:szCs w:val="24"/>
        </w:rPr>
        <w:t xml:space="preserve">Le </w:t>
      </w:r>
      <w:proofErr w:type="spellStart"/>
      <w:r w:rsidRPr="004249AC">
        <w:rPr>
          <w:rFonts w:ascii="Times New Roman" w:hAnsi="Times New Roman" w:cs="Times New Roman"/>
          <w:sz w:val="24"/>
          <w:szCs w:val="24"/>
        </w:rPr>
        <w:t>Seuil</w:t>
      </w:r>
      <w:proofErr w:type="spellEnd"/>
      <w:r w:rsidRPr="004249AC">
        <w:rPr>
          <w:rFonts w:ascii="Times New Roman" w:hAnsi="Times New Roman" w:cs="Times New Roman"/>
          <w:sz w:val="24"/>
          <w:szCs w:val="24"/>
        </w:rPr>
        <w:t>.</w:t>
      </w:r>
    </w:p>
    <w:p w14:paraId="69AD8137" w14:textId="77777777" w:rsidR="00F06451" w:rsidRPr="004249AC" w:rsidRDefault="00F06451" w:rsidP="00FC62D9">
      <w:pPr>
        <w:spacing w:after="0" w:line="276" w:lineRule="auto"/>
        <w:jc w:val="both"/>
        <w:rPr>
          <w:rFonts w:ascii="Times New Roman" w:hAnsi="Times New Roman" w:cs="Times New Roman"/>
          <w:sz w:val="24"/>
          <w:szCs w:val="24"/>
          <w:lang w:val="fr-FR"/>
        </w:rPr>
      </w:pPr>
      <w:r w:rsidRPr="004249AC">
        <w:rPr>
          <w:rFonts w:ascii="Times New Roman" w:hAnsi="Times New Roman" w:cs="Times New Roman"/>
          <w:sz w:val="24"/>
          <w:szCs w:val="24"/>
          <w:lang w:val="en-US"/>
        </w:rPr>
        <w:t>Balkan, O. (2023). </w:t>
      </w:r>
      <w:r w:rsidRPr="004249AC">
        <w:rPr>
          <w:rFonts w:ascii="Times New Roman" w:hAnsi="Times New Roman" w:cs="Times New Roman"/>
          <w:i/>
          <w:iCs/>
          <w:sz w:val="24"/>
          <w:szCs w:val="24"/>
          <w:lang w:val="en-US"/>
        </w:rPr>
        <w:t>Dying abroad: The political afterlives of migration in Europe (1</w:t>
      </w:r>
      <w:r w:rsidRPr="004249AC">
        <w:rPr>
          <w:rFonts w:ascii="Times New Roman" w:hAnsi="Times New Roman" w:cs="Times New Roman"/>
          <w:i/>
          <w:iCs/>
          <w:sz w:val="24"/>
          <w:szCs w:val="24"/>
          <w:vertAlign w:val="superscript"/>
          <w:lang w:val="en-US"/>
        </w:rPr>
        <w:t>st</w:t>
      </w:r>
      <w:r w:rsidRPr="004249AC">
        <w:rPr>
          <w:rFonts w:ascii="Times New Roman" w:hAnsi="Times New Roman" w:cs="Times New Roman"/>
          <w:i/>
          <w:iCs/>
          <w:sz w:val="24"/>
          <w:szCs w:val="24"/>
          <w:lang w:val="en-US"/>
        </w:rPr>
        <w:t xml:space="preserve"> ed.).</w:t>
      </w:r>
      <w:r w:rsidRPr="004249AC">
        <w:rPr>
          <w:rFonts w:ascii="Times New Roman" w:hAnsi="Times New Roman" w:cs="Times New Roman"/>
          <w:sz w:val="24"/>
          <w:szCs w:val="24"/>
          <w:lang w:val="en-US"/>
        </w:rPr>
        <w:t xml:space="preserve"> </w:t>
      </w:r>
      <w:r w:rsidRPr="004249AC">
        <w:rPr>
          <w:rFonts w:ascii="Times New Roman" w:hAnsi="Times New Roman" w:cs="Times New Roman"/>
          <w:sz w:val="24"/>
          <w:szCs w:val="24"/>
          <w:lang w:val="fr-FR"/>
        </w:rPr>
        <w:t xml:space="preserve">Cambridge </w:t>
      </w:r>
      <w:proofErr w:type="spellStart"/>
      <w:r w:rsidRPr="004249AC">
        <w:rPr>
          <w:rFonts w:ascii="Times New Roman" w:hAnsi="Times New Roman" w:cs="Times New Roman"/>
          <w:sz w:val="24"/>
          <w:szCs w:val="24"/>
          <w:lang w:val="fr-FR"/>
        </w:rPr>
        <w:t>University</w:t>
      </w:r>
      <w:proofErr w:type="spellEnd"/>
      <w:r w:rsidRPr="004249AC">
        <w:rPr>
          <w:rFonts w:ascii="Times New Roman" w:hAnsi="Times New Roman" w:cs="Times New Roman"/>
          <w:sz w:val="24"/>
          <w:szCs w:val="24"/>
          <w:lang w:val="fr-FR"/>
        </w:rPr>
        <w:t xml:space="preserve"> </w:t>
      </w:r>
      <w:proofErr w:type="spellStart"/>
      <w:r w:rsidRPr="004249AC">
        <w:rPr>
          <w:rFonts w:ascii="Times New Roman" w:hAnsi="Times New Roman" w:cs="Times New Roman"/>
          <w:sz w:val="24"/>
          <w:szCs w:val="24"/>
          <w:lang w:val="fr-FR"/>
        </w:rPr>
        <w:t>Press</w:t>
      </w:r>
      <w:proofErr w:type="spellEnd"/>
      <w:r w:rsidRPr="004249AC">
        <w:rPr>
          <w:rFonts w:ascii="Times New Roman" w:hAnsi="Times New Roman" w:cs="Times New Roman"/>
          <w:sz w:val="24"/>
          <w:szCs w:val="24"/>
          <w:lang w:val="fr-FR"/>
        </w:rPr>
        <w:t>. </w:t>
      </w:r>
      <w:hyperlink r:id="rId9" w:tgtFrame="_blank" w:history="1">
        <w:r w:rsidRPr="004249AC">
          <w:rPr>
            <w:rStyle w:val="Lienhypertexte"/>
            <w:rFonts w:ascii="Times New Roman" w:hAnsi="Times New Roman" w:cs="Times New Roman"/>
            <w:color w:val="auto"/>
            <w:sz w:val="24"/>
            <w:szCs w:val="24"/>
            <w:lang w:val="fr-FR"/>
          </w:rPr>
          <w:t>https://doi.org/10.1017/9781009288569</w:t>
        </w:r>
      </w:hyperlink>
    </w:p>
    <w:p w14:paraId="1D767523" w14:textId="7615C7D0" w:rsidR="004F01BC" w:rsidRPr="004249AC" w:rsidRDefault="005F47D6" w:rsidP="00FC62D9">
      <w:pPr>
        <w:spacing w:after="0"/>
        <w:jc w:val="both"/>
        <w:rPr>
          <w:rFonts w:ascii="Times New Roman" w:hAnsi="Times New Roman" w:cs="Times New Roman"/>
          <w:sz w:val="24"/>
          <w:szCs w:val="24"/>
          <w:lang w:val="fr-FR"/>
        </w:rPr>
      </w:pPr>
      <w:r w:rsidRPr="004249AC">
        <w:rPr>
          <w:rFonts w:ascii="Times New Roman" w:hAnsi="Times New Roman" w:cs="Times New Roman"/>
          <w:sz w:val="24"/>
          <w:szCs w:val="24"/>
          <w:lang w:val="fr-FR"/>
        </w:rPr>
        <w:t xml:space="preserve">Baudry </w:t>
      </w:r>
      <w:r w:rsidR="004F01BC" w:rsidRPr="004249AC">
        <w:rPr>
          <w:rFonts w:ascii="Times New Roman" w:hAnsi="Times New Roman" w:cs="Times New Roman"/>
          <w:sz w:val="24"/>
          <w:szCs w:val="24"/>
          <w:lang w:val="fr-FR"/>
        </w:rPr>
        <w:t>P. (1999). La place des morts : enjeux et rites, Paris : Armand Colin, 205p.</w:t>
      </w:r>
    </w:p>
    <w:p w14:paraId="7065BF0D" w14:textId="77777777" w:rsidR="00B44926" w:rsidRPr="004249AC" w:rsidRDefault="00B44926" w:rsidP="00FC62D9">
      <w:pPr>
        <w:spacing w:after="0" w:line="276" w:lineRule="auto"/>
        <w:jc w:val="both"/>
        <w:rPr>
          <w:rFonts w:ascii="Times New Roman" w:eastAsia="Times New Roman" w:hAnsi="Times New Roman" w:cs="Times New Roman"/>
          <w:sz w:val="24"/>
          <w:szCs w:val="24"/>
          <w:lang w:val="fr-FR"/>
        </w:rPr>
      </w:pPr>
      <w:r w:rsidRPr="004249AC">
        <w:rPr>
          <w:rFonts w:ascii="Times New Roman" w:hAnsi="Times New Roman" w:cs="Times New Roman"/>
          <w:sz w:val="24"/>
          <w:szCs w:val="24"/>
          <w:lang w:val="en-US"/>
        </w:rPr>
        <w:t xml:space="preserve">Butler, J. (1990). </w:t>
      </w:r>
      <w:r w:rsidRPr="004249AC">
        <w:rPr>
          <w:rFonts w:ascii="Times New Roman" w:hAnsi="Times New Roman" w:cs="Times New Roman"/>
          <w:i/>
          <w:iCs/>
          <w:sz w:val="24"/>
          <w:szCs w:val="24"/>
          <w:lang w:val="en-US"/>
        </w:rPr>
        <w:t>Gender trouble: Feminism and the subversion of identity</w:t>
      </w:r>
      <w:r w:rsidRPr="004249AC">
        <w:rPr>
          <w:rFonts w:ascii="Times New Roman" w:hAnsi="Times New Roman" w:cs="Times New Roman"/>
          <w:sz w:val="24"/>
          <w:szCs w:val="24"/>
          <w:lang w:val="en-US"/>
        </w:rPr>
        <w:t xml:space="preserve">. </w:t>
      </w:r>
      <w:r w:rsidRPr="004249AC">
        <w:rPr>
          <w:rFonts w:ascii="Times New Roman" w:hAnsi="Times New Roman" w:cs="Times New Roman"/>
          <w:sz w:val="24"/>
          <w:szCs w:val="24"/>
          <w:lang w:val="fr-FR"/>
        </w:rPr>
        <w:t>Routledge.</w:t>
      </w:r>
    </w:p>
    <w:p w14:paraId="63FD2D53" w14:textId="77777777" w:rsidR="00B44926" w:rsidRPr="004249AC" w:rsidRDefault="00B44926" w:rsidP="00FC62D9">
      <w:pPr>
        <w:pStyle w:val="NormalWeb"/>
        <w:spacing w:before="0" w:beforeAutospacing="0" w:after="0" w:afterAutospacing="0" w:line="276" w:lineRule="auto"/>
        <w:jc w:val="both"/>
        <w:rPr>
          <w:lang w:val="en-GB"/>
        </w:rPr>
      </w:pPr>
      <w:r w:rsidRPr="004249AC">
        <w:t>Clavandier, G. (2009). </w:t>
      </w:r>
      <w:r w:rsidRPr="004249AC">
        <w:rPr>
          <w:i/>
          <w:iCs/>
        </w:rPr>
        <w:t>Sociologie de la mort : vivre et mourir dans la société contemporaine</w:t>
      </w:r>
      <w:r w:rsidRPr="004249AC">
        <w:t xml:space="preserve">. </w:t>
      </w:r>
      <w:r w:rsidRPr="004249AC">
        <w:rPr>
          <w:lang w:val="en-GB"/>
        </w:rPr>
        <w:t>Armand Colin.</w:t>
      </w:r>
    </w:p>
    <w:p w14:paraId="01A4F56A" w14:textId="77777777" w:rsidR="00B44926" w:rsidRPr="004249AC" w:rsidRDefault="00B44926" w:rsidP="00FC62D9">
      <w:pPr>
        <w:tabs>
          <w:tab w:val="left" w:pos="360"/>
        </w:tabs>
        <w:spacing w:after="0" w:line="276" w:lineRule="auto"/>
        <w:jc w:val="both"/>
        <w:rPr>
          <w:rFonts w:ascii="Times New Roman" w:hAnsi="Times New Roman" w:cs="Times New Roman"/>
          <w:sz w:val="24"/>
          <w:szCs w:val="24"/>
          <w:lang w:val="fr-FR"/>
        </w:rPr>
      </w:pPr>
      <w:r w:rsidRPr="004249AC">
        <w:rPr>
          <w:rFonts w:ascii="Times New Roman" w:hAnsi="Times New Roman" w:cs="Times New Roman"/>
          <w:sz w:val="24"/>
          <w:szCs w:val="24"/>
          <w:lang w:val="en-US"/>
        </w:rPr>
        <w:t xml:space="preserve">Crenshaw, K. (1991). Mapping the margins: Intersectionality, identity politics, and violence against women of color. </w:t>
      </w:r>
      <w:r w:rsidRPr="004249AC">
        <w:rPr>
          <w:rFonts w:ascii="Times New Roman" w:hAnsi="Times New Roman" w:cs="Times New Roman"/>
          <w:i/>
          <w:iCs/>
          <w:sz w:val="24"/>
          <w:szCs w:val="24"/>
          <w:lang w:val="fr-FR"/>
        </w:rPr>
        <w:t xml:space="preserve">Stanford Law </w:t>
      </w:r>
      <w:proofErr w:type="spellStart"/>
      <w:r w:rsidRPr="004249AC">
        <w:rPr>
          <w:rFonts w:ascii="Times New Roman" w:hAnsi="Times New Roman" w:cs="Times New Roman"/>
          <w:i/>
          <w:iCs/>
          <w:sz w:val="24"/>
          <w:szCs w:val="24"/>
          <w:lang w:val="fr-FR"/>
        </w:rPr>
        <w:t>Review</w:t>
      </w:r>
      <w:proofErr w:type="spellEnd"/>
      <w:r w:rsidRPr="004249AC">
        <w:rPr>
          <w:rFonts w:ascii="Times New Roman" w:hAnsi="Times New Roman" w:cs="Times New Roman"/>
          <w:i/>
          <w:iCs/>
          <w:sz w:val="24"/>
          <w:szCs w:val="24"/>
          <w:lang w:val="fr-FR"/>
        </w:rPr>
        <w:t>, 43</w:t>
      </w:r>
      <w:r w:rsidRPr="004249AC">
        <w:rPr>
          <w:rFonts w:ascii="Times New Roman" w:hAnsi="Times New Roman" w:cs="Times New Roman"/>
          <w:sz w:val="24"/>
          <w:szCs w:val="24"/>
          <w:lang w:val="fr-FR"/>
        </w:rPr>
        <w:t xml:space="preserve">(6), 1241–1299. </w:t>
      </w:r>
      <w:hyperlink r:id="rId10" w:history="1">
        <w:r w:rsidRPr="004249AC">
          <w:rPr>
            <w:rStyle w:val="Lienhypertexte"/>
            <w:rFonts w:ascii="Times New Roman" w:hAnsi="Times New Roman" w:cs="Times New Roman"/>
            <w:color w:val="auto"/>
            <w:sz w:val="24"/>
            <w:szCs w:val="24"/>
            <w:lang w:val="fr-FR"/>
          </w:rPr>
          <w:t>https://doi.org/10.2307/1229039</w:t>
        </w:r>
      </w:hyperlink>
    </w:p>
    <w:p w14:paraId="65D31B38" w14:textId="55AC396A" w:rsidR="00C64F45" w:rsidRPr="004249AC" w:rsidRDefault="00C64F45" w:rsidP="00FC62D9">
      <w:pPr>
        <w:pStyle w:val="NormalWeb"/>
        <w:spacing w:before="0" w:beforeAutospacing="0" w:after="0" w:afterAutospacing="0" w:line="276" w:lineRule="auto"/>
        <w:jc w:val="both"/>
        <w:rPr>
          <w:shd w:val="clear" w:color="auto" w:fill="FAFAFA"/>
        </w:rPr>
      </w:pPr>
      <w:r w:rsidRPr="004249AC">
        <w:rPr>
          <w:rStyle w:val="lev"/>
          <w:b w:val="0"/>
          <w:bCs w:val="0"/>
          <w:shd w:val="clear" w:color="auto" w:fill="FAFAFA"/>
        </w:rPr>
        <w:t>CUZOL</w:t>
      </w:r>
      <w:r w:rsidRPr="004249AC">
        <w:rPr>
          <w:b/>
          <w:bCs/>
          <w:shd w:val="clear" w:color="auto" w:fill="FAFAFA"/>
        </w:rPr>
        <w:t>,</w:t>
      </w:r>
      <w:r w:rsidRPr="004249AC">
        <w:rPr>
          <w:shd w:val="clear" w:color="auto" w:fill="FAFAFA"/>
        </w:rPr>
        <w:t> </w:t>
      </w:r>
      <w:hyperlink r:id="rId11" w:tooltip="Notice sur HAL-SHS" w:history="1">
        <w:r w:rsidRPr="004249AC">
          <w:rPr>
            <w:rStyle w:val="Lienhypertexte"/>
            <w:color w:val="auto"/>
            <w:u w:val="none"/>
          </w:rPr>
          <w:t>De l'intime au politique : La narrativité des choix funéraires en contexte transnational et minoritaire : Etude auprès d'immigrés originaires du Maghreb et de descendants (Chalon/Saône)</w:t>
        </w:r>
      </w:hyperlink>
      <w:r w:rsidRPr="004249AC">
        <w:rPr>
          <w:shd w:val="clear" w:color="auto" w:fill="FAFAFA"/>
        </w:rPr>
        <w:t>, thèse soutenue le 14 juin 2024</w:t>
      </w:r>
    </w:p>
    <w:p w14:paraId="7BD8ED23" w14:textId="2A4C5815" w:rsidR="00C64F45" w:rsidRPr="004249AC" w:rsidRDefault="00C64F45" w:rsidP="00FC62D9">
      <w:pPr>
        <w:pStyle w:val="NormalWeb"/>
        <w:spacing w:before="0" w:beforeAutospacing="0" w:after="0" w:afterAutospacing="0" w:line="276" w:lineRule="auto"/>
        <w:jc w:val="both"/>
      </w:pPr>
      <w:r w:rsidRPr="004249AC">
        <w:t>Cuzol, V. (2025). Focus. Deuil, rites et contraintes sanitaires en temps de pandémie : le cas des immigrés originaires du Maghreb et de leurs descendants. Informations sociales, 214(2), 45-48. https://doi.org/10.3917/inso.214.0045.</w:t>
      </w:r>
    </w:p>
    <w:p w14:paraId="0B3934BE" w14:textId="2FF85B4B" w:rsidR="00B44926" w:rsidRPr="004249AC" w:rsidRDefault="00B44926" w:rsidP="00FC62D9">
      <w:pPr>
        <w:pStyle w:val="NormalWeb"/>
        <w:spacing w:before="0" w:beforeAutospacing="0" w:after="0" w:afterAutospacing="0" w:line="276" w:lineRule="auto"/>
        <w:jc w:val="both"/>
      </w:pPr>
      <w:r w:rsidRPr="004249AC">
        <w:t xml:space="preserve">De </w:t>
      </w:r>
      <w:proofErr w:type="spellStart"/>
      <w:r w:rsidRPr="004249AC">
        <w:t>Heusch</w:t>
      </w:r>
      <w:proofErr w:type="spellEnd"/>
      <w:r w:rsidRPr="004249AC">
        <w:t xml:space="preserve">, F., Wenger, C., &amp; Lafleur, J.-M. (2022). États et diasporas face à la mort en migration : Une analyse comparée des cas sénégalais et tunisien avant et pendant la pandémie de la COVID-19. </w:t>
      </w:r>
      <w:r w:rsidRPr="004249AC">
        <w:rPr>
          <w:i/>
          <w:iCs/>
        </w:rPr>
        <w:t>Revue européenne des migrations internationales, 38</w:t>
      </w:r>
      <w:r w:rsidRPr="004249AC">
        <w:t xml:space="preserve">(1), 37–62. </w:t>
      </w:r>
      <w:hyperlink r:id="rId12" w:history="1">
        <w:r w:rsidRPr="004249AC">
          <w:rPr>
            <w:rStyle w:val="Lienhypertexte"/>
            <w:color w:val="auto"/>
          </w:rPr>
          <w:t>https://doi.org/10.4000/remi.19950</w:t>
        </w:r>
      </w:hyperlink>
      <w:r w:rsidRPr="004249AC">
        <w:t xml:space="preserve"> </w:t>
      </w:r>
    </w:p>
    <w:p w14:paraId="38A0F2DD" w14:textId="77777777" w:rsidR="00670ADF" w:rsidRPr="004249AC" w:rsidRDefault="00670ADF" w:rsidP="00FC62D9">
      <w:pPr>
        <w:spacing w:after="0" w:line="360" w:lineRule="auto"/>
        <w:jc w:val="both"/>
        <w:rPr>
          <w:rFonts w:ascii="Times New Roman" w:hAnsi="Times New Roman" w:cs="Times New Roman"/>
          <w:sz w:val="24"/>
          <w:szCs w:val="24"/>
          <w:lang w:val="fr-FR"/>
        </w:rPr>
      </w:pPr>
      <w:r w:rsidRPr="004249AC">
        <w:rPr>
          <w:rFonts w:ascii="Times New Roman" w:hAnsi="Times New Roman" w:cs="Times New Roman"/>
          <w:sz w:val="24"/>
          <w:szCs w:val="24"/>
          <w:lang w:val="fr-FR"/>
        </w:rPr>
        <w:t>Esquerre, A. (2011). </w:t>
      </w:r>
      <w:r w:rsidRPr="004249AC">
        <w:rPr>
          <w:rFonts w:ascii="Times New Roman" w:hAnsi="Times New Roman" w:cs="Times New Roman"/>
          <w:i/>
          <w:iCs/>
          <w:sz w:val="24"/>
          <w:szCs w:val="24"/>
          <w:lang w:val="fr-FR"/>
        </w:rPr>
        <w:t>Les os, les cendres et l'Etat</w:t>
      </w:r>
      <w:r w:rsidRPr="004249AC">
        <w:rPr>
          <w:rFonts w:ascii="Times New Roman" w:hAnsi="Times New Roman" w:cs="Times New Roman"/>
          <w:sz w:val="24"/>
          <w:szCs w:val="24"/>
          <w:lang w:val="fr-FR"/>
        </w:rPr>
        <w:t xml:space="preserve">. Fayard. </w:t>
      </w:r>
    </w:p>
    <w:p w14:paraId="1191CAD3" w14:textId="77777777" w:rsidR="00670ADF" w:rsidRPr="004249AC" w:rsidRDefault="00670ADF" w:rsidP="00FC62D9">
      <w:pPr>
        <w:spacing w:after="0" w:line="360" w:lineRule="auto"/>
        <w:jc w:val="both"/>
        <w:rPr>
          <w:rFonts w:ascii="Times New Roman" w:hAnsi="Times New Roman" w:cs="Times New Roman"/>
          <w:sz w:val="24"/>
          <w:szCs w:val="24"/>
        </w:rPr>
      </w:pPr>
      <w:r w:rsidRPr="004249AC">
        <w:rPr>
          <w:rFonts w:ascii="Times New Roman" w:hAnsi="Times New Roman" w:cs="Times New Roman"/>
          <w:sz w:val="24"/>
          <w:szCs w:val="24"/>
          <w:lang w:val="fr-FR"/>
        </w:rPr>
        <w:t xml:space="preserve">Esquerre, A., &amp; Truc, G. (2011). Morts et fragments de corps. </w:t>
      </w:r>
      <w:r w:rsidRPr="004249AC">
        <w:rPr>
          <w:rStyle w:val="Accentuation"/>
          <w:rFonts w:ascii="Times New Roman" w:hAnsi="Times New Roman" w:cs="Times New Roman"/>
          <w:sz w:val="24"/>
          <w:szCs w:val="24"/>
        </w:rPr>
        <w:t>Raisons politiques</w:t>
      </w:r>
      <w:r w:rsidRPr="004249AC">
        <w:rPr>
          <w:rFonts w:ascii="Times New Roman" w:hAnsi="Times New Roman" w:cs="Times New Roman"/>
          <w:sz w:val="24"/>
          <w:szCs w:val="24"/>
        </w:rPr>
        <w:t>, (41), 5-16.</w:t>
      </w:r>
    </w:p>
    <w:p w14:paraId="7AB60405" w14:textId="77777777" w:rsidR="00B44926" w:rsidRPr="004249AC" w:rsidRDefault="00B44926" w:rsidP="00FC62D9">
      <w:pPr>
        <w:spacing w:after="0" w:line="276" w:lineRule="auto"/>
        <w:jc w:val="both"/>
        <w:rPr>
          <w:rFonts w:ascii="Times New Roman" w:eastAsia="Times New Roman" w:hAnsi="Times New Roman" w:cs="Times New Roman"/>
          <w:sz w:val="24"/>
          <w:szCs w:val="24"/>
          <w:lang w:val="fr-FR" w:eastAsia="fr-FR"/>
        </w:rPr>
      </w:pPr>
      <w:proofErr w:type="spellStart"/>
      <w:r w:rsidRPr="004249AC">
        <w:rPr>
          <w:rFonts w:ascii="Times New Roman" w:eastAsia="Times New Roman" w:hAnsi="Times New Roman" w:cs="Times New Roman"/>
          <w:sz w:val="24"/>
          <w:szCs w:val="24"/>
          <w:lang w:val="en-US" w:eastAsia="fr-FR"/>
        </w:rPr>
        <w:t>Gorer</w:t>
      </w:r>
      <w:proofErr w:type="spellEnd"/>
      <w:r w:rsidRPr="004249AC">
        <w:rPr>
          <w:rFonts w:ascii="Times New Roman" w:eastAsia="Times New Roman" w:hAnsi="Times New Roman" w:cs="Times New Roman"/>
          <w:sz w:val="24"/>
          <w:szCs w:val="24"/>
          <w:lang w:val="en-US" w:eastAsia="fr-FR"/>
        </w:rPr>
        <w:t>, G. (1955). The pornography of death. </w:t>
      </w:r>
      <w:proofErr w:type="spellStart"/>
      <w:r w:rsidRPr="004249AC">
        <w:rPr>
          <w:rFonts w:ascii="Times New Roman" w:eastAsia="Times New Roman" w:hAnsi="Times New Roman" w:cs="Times New Roman"/>
          <w:i/>
          <w:iCs/>
          <w:sz w:val="24"/>
          <w:szCs w:val="24"/>
          <w:lang w:val="fr-FR" w:eastAsia="fr-FR"/>
        </w:rPr>
        <w:t>Encounter</w:t>
      </w:r>
      <w:proofErr w:type="spellEnd"/>
      <w:r w:rsidRPr="004249AC">
        <w:rPr>
          <w:rFonts w:ascii="Times New Roman" w:eastAsia="Times New Roman" w:hAnsi="Times New Roman" w:cs="Times New Roman"/>
          <w:sz w:val="24"/>
          <w:szCs w:val="24"/>
          <w:lang w:val="fr-FR" w:eastAsia="fr-FR"/>
        </w:rPr>
        <w:t>, </w:t>
      </w:r>
      <w:r w:rsidRPr="004249AC">
        <w:rPr>
          <w:rFonts w:ascii="Times New Roman" w:eastAsia="Times New Roman" w:hAnsi="Times New Roman" w:cs="Times New Roman"/>
          <w:i/>
          <w:iCs/>
          <w:sz w:val="24"/>
          <w:szCs w:val="24"/>
          <w:lang w:val="fr-FR" w:eastAsia="fr-FR"/>
        </w:rPr>
        <w:t>5</w:t>
      </w:r>
      <w:r w:rsidRPr="004249AC">
        <w:rPr>
          <w:rFonts w:ascii="Times New Roman" w:eastAsia="Times New Roman" w:hAnsi="Times New Roman" w:cs="Times New Roman"/>
          <w:sz w:val="24"/>
          <w:szCs w:val="24"/>
          <w:lang w:val="fr-FR" w:eastAsia="fr-FR"/>
        </w:rPr>
        <w:t>(4), 49-52.</w:t>
      </w:r>
    </w:p>
    <w:p w14:paraId="4333ABBC" w14:textId="77777777" w:rsidR="00B44926" w:rsidRPr="004249AC" w:rsidRDefault="00B44926" w:rsidP="00FC62D9">
      <w:pPr>
        <w:pStyle w:val="NormalWeb"/>
        <w:spacing w:before="0" w:beforeAutospacing="0" w:after="0" w:afterAutospacing="0" w:line="276" w:lineRule="auto"/>
        <w:jc w:val="both"/>
      </w:pPr>
      <w:r w:rsidRPr="004249AC">
        <w:t>Gueissaz, M. (2008). La grande guerre et l’impossible inhumation individuelle des soldats français : Les ratés d’une tradition nationale consensuelle. </w:t>
      </w:r>
      <w:r w:rsidRPr="004249AC">
        <w:rPr>
          <w:i/>
          <w:iCs/>
        </w:rPr>
        <w:t>Lien social et Politiques,</w:t>
      </w:r>
      <w:r w:rsidRPr="004249AC">
        <w:t xml:space="preserve"> (59), 75-89. </w:t>
      </w:r>
      <w:hyperlink r:id="rId13" w:history="1">
        <w:r w:rsidRPr="004249AC">
          <w:rPr>
            <w:rStyle w:val="Lienhypertexte"/>
            <w:rFonts w:eastAsia="Calibri"/>
            <w:color w:val="auto"/>
          </w:rPr>
          <w:t>https://doi.org/10.7202/018815ar</w:t>
        </w:r>
      </w:hyperlink>
    </w:p>
    <w:p w14:paraId="6E009BF5" w14:textId="77777777" w:rsidR="00B44926" w:rsidRPr="004249AC" w:rsidRDefault="00B44926" w:rsidP="00FC62D9">
      <w:pPr>
        <w:spacing w:after="0" w:line="276" w:lineRule="auto"/>
        <w:jc w:val="both"/>
        <w:rPr>
          <w:rFonts w:ascii="Times New Roman" w:hAnsi="Times New Roman" w:cs="Times New Roman"/>
          <w:sz w:val="24"/>
          <w:szCs w:val="24"/>
          <w:lang w:val="fr-FR"/>
        </w:rPr>
      </w:pPr>
      <w:r w:rsidRPr="0085242E">
        <w:rPr>
          <w:rFonts w:ascii="Times New Roman" w:eastAsia="Times New Roman" w:hAnsi="Times New Roman" w:cs="Times New Roman"/>
          <w:sz w:val="24"/>
          <w:szCs w:val="24"/>
          <w:lang w:val="fr-FR" w:eastAsia="fr-FR"/>
        </w:rPr>
        <w:t xml:space="preserve">Hockey, J., </w:t>
      </w:r>
      <w:proofErr w:type="spellStart"/>
      <w:r w:rsidRPr="0085242E">
        <w:rPr>
          <w:rFonts w:ascii="Times New Roman" w:eastAsia="Times New Roman" w:hAnsi="Times New Roman" w:cs="Times New Roman"/>
          <w:sz w:val="24"/>
          <w:szCs w:val="24"/>
          <w:lang w:val="fr-FR" w:eastAsia="fr-FR"/>
        </w:rPr>
        <w:t>Komaromy</w:t>
      </w:r>
      <w:proofErr w:type="spellEnd"/>
      <w:r w:rsidRPr="0085242E">
        <w:rPr>
          <w:rFonts w:ascii="Times New Roman" w:eastAsia="Times New Roman" w:hAnsi="Times New Roman" w:cs="Times New Roman"/>
          <w:sz w:val="24"/>
          <w:szCs w:val="24"/>
          <w:lang w:val="fr-FR" w:eastAsia="fr-FR"/>
        </w:rPr>
        <w:t>, C., &amp;</w:t>
      </w:r>
      <w:proofErr w:type="spellStart"/>
      <w:r w:rsidRPr="0085242E">
        <w:rPr>
          <w:rFonts w:ascii="Times New Roman" w:eastAsia="Times New Roman" w:hAnsi="Times New Roman" w:cs="Times New Roman"/>
          <w:sz w:val="24"/>
          <w:szCs w:val="24"/>
          <w:lang w:val="fr-FR" w:eastAsia="fr-FR"/>
        </w:rPr>
        <w:t>Woodthorpe</w:t>
      </w:r>
      <w:proofErr w:type="spellEnd"/>
      <w:r w:rsidRPr="0085242E">
        <w:rPr>
          <w:rFonts w:ascii="Times New Roman" w:eastAsia="Times New Roman" w:hAnsi="Times New Roman" w:cs="Times New Roman"/>
          <w:sz w:val="24"/>
          <w:szCs w:val="24"/>
          <w:lang w:val="fr-FR" w:eastAsia="fr-FR"/>
        </w:rPr>
        <w:t xml:space="preserve">, K. (2010). </w:t>
      </w:r>
      <w:r w:rsidRPr="004249AC">
        <w:rPr>
          <w:rFonts w:ascii="Times New Roman" w:eastAsia="Times New Roman" w:hAnsi="Times New Roman" w:cs="Times New Roman"/>
          <w:sz w:val="24"/>
          <w:szCs w:val="24"/>
          <w:lang w:val="en-US" w:eastAsia="fr-FR"/>
        </w:rPr>
        <w:t xml:space="preserve">In Hockey J., </w:t>
      </w:r>
      <w:proofErr w:type="spellStart"/>
      <w:r w:rsidRPr="004249AC">
        <w:rPr>
          <w:rFonts w:ascii="Times New Roman" w:eastAsia="Times New Roman" w:hAnsi="Times New Roman" w:cs="Times New Roman"/>
          <w:sz w:val="24"/>
          <w:szCs w:val="24"/>
          <w:lang w:val="en-US" w:eastAsia="fr-FR"/>
        </w:rPr>
        <w:t>Komaromy</w:t>
      </w:r>
      <w:proofErr w:type="spellEnd"/>
      <w:r w:rsidRPr="004249AC">
        <w:rPr>
          <w:rFonts w:ascii="Times New Roman" w:eastAsia="Times New Roman" w:hAnsi="Times New Roman" w:cs="Times New Roman"/>
          <w:sz w:val="24"/>
          <w:szCs w:val="24"/>
          <w:lang w:val="en-US" w:eastAsia="fr-FR"/>
        </w:rPr>
        <w:t xml:space="preserve"> C. </w:t>
      </w:r>
      <w:proofErr w:type="spellStart"/>
      <w:r w:rsidRPr="004249AC">
        <w:rPr>
          <w:rFonts w:ascii="Times New Roman" w:eastAsia="Times New Roman" w:hAnsi="Times New Roman" w:cs="Times New Roman"/>
          <w:sz w:val="24"/>
          <w:szCs w:val="24"/>
          <w:lang w:val="en-US" w:eastAsia="fr-FR"/>
        </w:rPr>
        <w:t>andWoodthorpeK</w:t>
      </w:r>
      <w:proofErr w:type="spellEnd"/>
      <w:r w:rsidRPr="004249AC">
        <w:rPr>
          <w:rFonts w:ascii="Times New Roman" w:eastAsia="Times New Roman" w:hAnsi="Times New Roman" w:cs="Times New Roman"/>
          <w:sz w:val="24"/>
          <w:szCs w:val="24"/>
          <w:lang w:val="en-US" w:eastAsia="fr-FR"/>
        </w:rPr>
        <w:t>.(Eds.), </w:t>
      </w:r>
      <w:r w:rsidRPr="004249AC">
        <w:rPr>
          <w:rFonts w:ascii="Times New Roman" w:eastAsia="Times New Roman" w:hAnsi="Times New Roman" w:cs="Times New Roman"/>
          <w:i/>
          <w:iCs/>
          <w:sz w:val="24"/>
          <w:szCs w:val="24"/>
          <w:lang w:val="en-US" w:eastAsia="fr-FR"/>
        </w:rPr>
        <w:t>The matter of death: Space, place and materiality</w:t>
      </w:r>
      <w:r w:rsidRPr="004249AC">
        <w:rPr>
          <w:rFonts w:ascii="Times New Roman" w:eastAsia="Times New Roman" w:hAnsi="Times New Roman" w:cs="Times New Roman"/>
          <w:sz w:val="24"/>
          <w:szCs w:val="24"/>
          <w:lang w:val="en-US" w:eastAsia="fr-FR"/>
        </w:rPr>
        <w:t xml:space="preserve"> (1st ed.). </w:t>
      </w:r>
      <w:proofErr w:type="spellStart"/>
      <w:r w:rsidRPr="004249AC">
        <w:rPr>
          <w:rFonts w:ascii="Times New Roman" w:eastAsia="Times New Roman" w:hAnsi="Times New Roman" w:cs="Times New Roman"/>
          <w:sz w:val="24"/>
          <w:szCs w:val="24"/>
          <w:lang w:val="fr-FR" w:eastAsia="fr-FR"/>
        </w:rPr>
        <w:t>Palgrave</w:t>
      </w:r>
      <w:proofErr w:type="spellEnd"/>
      <w:r w:rsidRPr="004249AC">
        <w:rPr>
          <w:rFonts w:ascii="Times New Roman" w:eastAsia="Times New Roman" w:hAnsi="Times New Roman" w:cs="Times New Roman"/>
          <w:sz w:val="24"/>
          <w:szCs w:val="24"/>
          <w:lang w:val="fr-FR" w:eastAsia="fr-FR"/>
        </w:rPr>
        <w:t xml:space="preserve"> Macmillan UK. </w:t>
      </w:r>
      <w:hyperlink r:id="rId14" w:tgtFrame="_blank" w:history="1">
        <w:r w:rsidRPr="004249AC">
          <w:rPr>
            <w:rStyle w:val="Lienhypertexte"/>
            <w:rFonts w:ascii="Times New Roman" w:eastAsia="Times New Roman" w:hAnsi="Times New Roman" w:cs="Times New Roman"/>
            <w:color w:val="auto"/>
            <w:sz w:val="24"/>
            <w:szCs w:val="24"/>
            <w:lang w:val="fr-FR" w:eastAsia="fr-FR"/>
          </w:rPr>
          <w:t>https://doi.org/10.1057/9780230283060</w:t>
        </w:r>
      </w:hyperlink>
    </w:p>
    <w:p w14:paraId="44D000A8" w14:textId="3080DE0A" w:rsidR="00B44926" w:rsidRPr="004249AC" w:rsidRDefault="00B44926" w:rsidP="00FC62D9">
      <w:pPr>
        <w:pStyle w:val="NormalWeb"/>
        <w:spacing w:before="0" w:beforeAutospacing="0" w:after="0" w:afterAutospacing="0" w:line="276" w:lineRule="auto"/>
        <w:jc w:val="both"/>
        <w:rPr>
          <w:shd w:val="clear" w:color="auto" w:fill="A0AFBF"/>
          <w:lang w:val="en-GB"/>
        </w:rPr>
      </w:pPr>
      <w:proofErr w:type="spellStart"/>
      <w:r w:rsidRPr="004249AC">
        <w:t>Jakšić</w:t>
      </w:r>
      <w:proofErr w:type="spellEnd"/>
      <w:r w:rsidRPr="004249AC">
        <w:t xml:space="preserve">, M., &amp; Fischer, N. (2021). Les morts encombrants. Du gouvernement politique des cadavres. </w:t>
      </w:r>
      <w:r w:rsidRPr="004249AC">
        <w:rPr>
          <w:i/>
          <w:iCs/>
          <w:lang w:val="en-GB"/>
        </w:rPr>
        <w:t xml:space="preserve">Cultures &amp; </w:t>
      </w:r>
      <w:proofErr w:type="spellStart"/>
      <w:r w:rsidRPr="004249AC">
        <w:rPr>
          <w:i/>
          <w:iCs/>
          <w:lang w:val="en-GB"/>
        </w:rPr>
        <w:t>Conflits</w:t>
      </w:r>
      <w:proofErr w:type="spellEnd"/>
      <w:r w:rsidRPr="004249AC">
        <w:rPr>
          <w:i/>
          <w:iCs/>
          <w:lang w:val="en-GB"/>
        </w:rPr>
        <w:t>, 121</w:t>
      </w:r>
      <w:r w:rsidRPr="004249AC">
        <w:rPr>
          <w:lang w:val="en-GB"/>
        </w:rPr>
        <w:t xml:space="preserve">(1), 7-14. </w:t>
      </w:r>
      <w:hyperlink r:id="rId15" w:history="1">
        <w:r w:rsidRPr="004249AC">
          <w:rPr>
            <w:rStyle w:val="Lienhypertexte"/>
            <w:color w:val="auto"/>
            <w:lang w:val="en-GB"/>
          </w:rPr>
          <w:t>https://doi.org/10.4000/conflits.22549</w:t>
        </w:r>
      </w:hyperlink>
    </w:p>
    <w:p w14:paraId="2FD846BC" w14:textId="77777777" w:rsidR="00B44926" w:rsidRPr="004249AC" w:rsidRDefault="00B44926" w:rsidP="00FC62D9">
      <w:pPr>
        <w:pStyle w:val="NormalWeb"/>
        <w:spacing w:before="0" w:beforeAutospacing="0" w:after="0" w:afterAutospacing="0" w:line="276" w:lineRule="auto"/>
        <w:jc w:val="both"/>
        <w:rPr>
          <w:lang w:val="en-US"/>
        </w:rPr>
      </w:pPr>
      <w:proofErr w:type="spellStart"/>
      <w:r w:rsidRPr="004249AC">
        <w:rPr>
          <w:lang w:val="en-US"/>
        </w:rPr>
        <w:t>Kellehear</w:t>
      </w:r>
      <w:proofErr w:type="spellEnd"/>
      <w:r w:rsidRPr="004249AC">
        <w:rPr>
          <w:lang w:val="en-US"/>
        </w:rPr>
        <w:t>, A. (2007). </w:t>
      </w:r>
      <w:r w:rsidRPr="004249AC">
        <w:rPr>
          <w:i/>
          <w:iCs/>
          <w:lang w:val="en-US"/>
        </w:rPr>
        <w:t>A social history of dying</w:t>
      </w:r>
      <w:r w:rsidRPr="004249AC">
        <w:rPr>
          <w:lang w:val="en-US"/>
        </w:rPr>
        <w:t> (1</w:t>
      </w:r>
      <w:r w:rsidRPr="004249AC">
        <w:rPr>
          <w:vertAlign w:val="superscript"/>
          <w:lang w:val="en-US"/>
        </w:rPr>
        <w:t>st</w:t>
      </w:r>
      <w:r w:rsidRPr="004249AC">
        <w:rPr>
          <w:lang w:val="en-US"/>
        </w:rPr>
        <w:t xml:space="preserve"> ed.). Cambridge University Press. </w:t>
      </w:r>
      <w:hyperlink r:id="rId16" w:tgtFrame="_blank" w:history="1">
        <w:r w:rsidRPr="004249AC">
          <w:rPr>
            <w:rStyle w:val="Lienhypertexte"/>
            <w:rFonts w:eastAsia="Calibri"/>
            <w:color w:val="auto"/>
            <w:lang w:val="en-US"/>
          </w:rPr>
          <w:t>https://doi.org/10.1017/CBO9780511481352</w:t>
        </w:r>
      </w:hyperlink>
    </w:p>
    <w:p w14:paraId="26DF1B07" w14:textId="77777777" w:rsidR="00B44926" w:rsidRPr="004249AC" w:rsidRDefault="00B44926" w:rsidP="00FC62D9">
      <w:pPr>
        <w:spacing w:after="0" w:line="276" w:lineRule="auto"/>
        <w:jc w:val="both"/>
        <w:rPr>
          <w:rFonts w:ascii="Times New Roman" w:hAnsi="Times New Roman" w:cs="Times New Roman"/>
          <w:sz w:val="24"/>
          <w:szCs w:val="24"/>
          <w:lang w:val="fr-FR"/>
        </w:rPr>
      </w:pPr>
      <w:proofErr w:type="spellStart"/>
      <w:r w:rsidRPr="004249AC">
        <w:rPr>
          <w:rFonts w:ascii="Times New Roman" w:hAnsi="Times New Roman" w:cs="Times New Roman"/>
          <w:sz w:val="24"/>
          <w:szCs w:val="24"/>
          <w:lang w:val="fr-FR"/>
        </w:rPr>
        <w:t>Kobelinsky</w:t>
      </w:r>
      <w:proofErr w:type="spellEnd"/>
      <w:r w:rsidRPr="004249AC">
        <w:rPr>
          <w:rFonts w:ascii="Times New Roman" w:hAnsi="Times New Roman" w:cs="Times New Roman"/>
          <w:sz w:val="24"/>
          <w:szCs w:val="24"/>
          <w:lang w:val="fr-FR"/>
        </w:rPr>
        <w:t>, C. (2016). Les vies des morts de la migration. </w:t>
      </w:r>
      <w:r w:rsidRPr="004249AC">
        <w:rPr>
          <w:rFonts w:ascii="Times New Roman" w:hAnsi="Times New Roman" w:cs="Times New Roman"/>
          <w:i/>
          <w:iCs/>
          <w:sz w:val="24"/>
          <w:szCs w:val="24"/>
          <w:lang w:val="fr-FR"/>
        </w:rPr>
        <w:t>Plein droit</w:t>
      </w:r>
      <w:r w:rsidRPr="004249AC">
        <w:rPr>
          <w:rFonts w:ascii="Times New Roman" w:hAnsi="Times New Roman" w:cs="Times New Roman"/>
          <w:sz w:val="24"/>
          <w:szCs w:val="24"/>
          <w:lang w:val="fr-FR"/>
        </w:rPr>
        <w:t>, </w:t>
      </w:r>
      <w:r w:rsidRPr="004249AC">
        <w:rPr>
          <w:rFonts w:ascii="Times New Roman" w:hAnsi="Times New Roman" w:cs="Times New Roman"/>
          <w:i/>
          <w:iCs/>
          <w:sz w:val="24"/>
          <w:szCs w:val="24"/>
          <w:lang w:val="fr-FR"/>
        </w:rPr>
        <w:t>109</w:t>
      </w:r>
      <w:r w:rsidRPr="004249AC">
        <w:rPr>
          <w:rFonts w:ascii="Times New Roman" w:hAnsi="Times New Roman" w:cs="Times New Roman"/>
          <w:sz w:val="24"/>
          <w:szCs w:val="24"/>
          <w:lang w:val="fr-FR"/>
        </w:rPr>
        <w:t xml:space="preserve">(2), 6-9. </w:t>
      </w:r>
    </w:p>
    <w:p w14:paraId="581C95B0" w14:textId="70910570" w:rsidR="00B44926" w:rsidRPr="004249AC" w:rsidRDefault="00B44926" w:rsidP="00FC62D9">
      <w:pPr>
        <w:spacing w:after="0" w:line="276" w:lineRule="auto"/>
        <w:jc w:val="both"/>
        <w:rPr>
          <w:rFonts w:ascii="Times New Roman" w:hAnsi="Times New Roman" w:cs="Times New Roman"/>
          <w:sz w:val="24"/>
          <w:szCs w:val="24"/>
          <w:lang w:val="fr-FR"/>
        </w:rPr>
      </w:pPr>
      <w:proofErr w:type="spellStart"/>
      <w:r w:rsidRPr="004249AC">
        <w:rPr>
          <w:rFonts w:ascii="Times New Roman" w:hAnsi="Times New Roman" w:cs="Times New Roman"/>
          <w:sz w:val="24"/>
          <w:szCs w:val="24"/>
          <w:lang w:val="fr-FR"/>
        </w:rPr>
        <w:t>Kobelinsky</w:t>
      </w:r>
      <w:proofErr w:type="spellEnd"/>
      <w:r w:rsidRPr="004249AC">
        <w:rPr>
          <w:rFonts w:ascii="Times New Roman" w:hAnsi="Times New Roman" w:cs="Times New Roman"/>
          <w:sz w:val="24"/>
          <w:szCs w:val="24"/>
          <w:lang w:val="fr-FR"/>
        </w:rPr>
        <w:t xml:space="preserve">, C., &amp; </w:t>
      </w:r>
      <w:proofErr w:type="spellStart"/>
      <w:r w:rsidRPr="004249AC">
        <w:rPr>
          <w:rFonts w:ascii="Times New Roman" w:hAnsi="Times New Roman" w:cs="Times New Roman"/>
          <w:sz w:val="24"/>
          <w:szCs w:val="24"/>
          <w:lang w:val="fr-FR"/>
        </w:rPr>
        <w:t>Rachédi</w:t>
      </w:r>
      <w:proofErr w:type="spellEnd"/>
      <w:r w:rsidRPr="004249AC">
        <w:rPr>
          <w:rFonts w:ascii="Times New Roman" w:hAnsi="Times New Roman" w:cs="Times New Roman"/>
          <w:sz w:val="24"/>
          <w:szCs w:val="24"/>
          <w:lang w:val="fr-FR"/>
        </w:rPr>
        <w:t>, L. (</w:t>
      </w:r>
      <w:proofErr w:type="spellStart"/>
      <w:r w:rsidRPr="004249AC">
        <w:rPr>
          <w:rFonts w:ascii="Times New Roman" w:hAnsi="Times New Roman" w:cs="Times New Roman"/>
          <w:sz w:val="24"/>
          <w:szCs w:val="24"/>
          <w:lang w:val="fr-FR"/>
        </w:rPr>
        <w:t>Eds</w:t>
      </w:r>
      <w:proofErr w:type="spellEnd"/>
      <w:r w:rsidRPr="004249AC">
        <w:rPr>
          <w:rFonts w:ascii="Times New Roman" w:hAnsi="Times New Roman" w:cs="Times New Roman"/>
          <w:sz w:val="24"/>
          <w:szCs w:val="24"/>
          <w:lang w:val="fr-FR"/>
        </w:rPr>
        <w:t xml:space="preserve">.). (2023). </w:t>
      </w:r>
      <w:r w:rsidRPr="004249AC">
        <w:rPr>
          <w:rFonts w:ascii="Times New Roman" w:hAnsi="Times New Roman" w:cs="Times New Roman"/>
          <w:i/>
          <w:iCs/>
          <w:sz w:val="24"/>
          <w:szCs w:val="24"/>
          <w:lang w:val="fr-FR"/>
        </w:rPr>
        <w:t xml:space="preserve">Traces et mobilités posthumes : Rêver les futurs des défunts en contextes migratoires. </w:t>
      </w:r>
      <w:r w:rsidRPr="004249AC">
        <w:rPr>
          <w:rFonts w:ascii="Times New Roman" w:hAnsi="Times New Roman" w:cs="Times New Roman"/>
          <w:sz w:val="24"/>
          <w:szCs w:val="24"/>
          <w:lang w:val="fr-FR"/>
        </w:rPr>
        <w:t>Éditions Petra.</w:t>
      </w:r>
    </w:p>
    <w:p w14:paraId="09C964FF" w14:textId="1AE5117C" w:rsidR="005F47D6" w:rsidRPr="004249AC" w:rsidRDefault="005F47D6" w:rsidP="00FC62D9">
      <w:pPr>
        <w:spacing w:after="0"/>
        <w:jc w:val="both"/>
        <w:rPr>
          <w:rFonts w:ascii="Times New Roman" w:hAnsi="Times New Roman" w:cs="Times New Roman"/>
          <w:sz w:val="24"/>
          <w:szCs w:val="24"/>
          <w:lang w:val="fr-FR"/>
        </w:rPr>
      </w:pPr>
      <w:proofErr w:type="spellStart"/>
      <w:r w:rsidRPr="004249AC">
        <w:rPr>
          <w:rFonts w:ascii="Times New Roman" w:hAnsi="Times New Roman" w:cs="Times New Roman"/>
          <w:sz w:val="24"/>
          <w:szCs w:val="24"/>
          <w:lang w:val="fr-FR"/>
        </w:rPr>
        <w:t>Kobelinsky</w:t>
      </w:r>
      <w:proofErr w:type="spellEnd"/>
      <w:r w:rsidRPr="004249AC">
        <w:rPr>
          <w:rFonts w:ascii="Times New Roman" w:hAnsi="Times New Roman" w:cs="Times New Roman"/>
          <w:sz w:val="24"/>
          <w:szCs w:val="24"/>
          <w:lang w:val="fr-FR"/>
        </w:rPr>
        <w:t xml:space="preserve"> C. et Le Courant S. (</w:t>
      </w:r>
      <w:proofErr w:type="spellStart"/>
      <w:r w:rsidRPr="004249AC">
        <w:rPr>
          <w:rFonts w:ascii="Times New Roman" w:hAnsi="Times New Roman" w:cs="Times New Roman"/>
          <w:sz w:val="24"/>
          <w:szCs w:val="24"/>
          <w:lang w:val="fr-FR"/>
        </w:rPr>
        <w:t>dir</w:t>
      </w:r>
      <w:proofErr w:type="spellEnd"/>
      <w:r w:rsidRPr="004249AC">
        <w:rPr>
          <w:rFonts w:ascii="Times New Roman" w:hAnsi="Times New Roman" w:cs="Times New Roman"/>
          <w:sz w:val="24"/>
          <w:szCs w:val="24"/>
          <w:lang w:val="fr-FR"/>
        </w:rPr>
        <w:t>.) (2017). La mort aux frontières de l’Europe. Retrouver, identifier, commémorer, Neuvy-en-Champagne : Le Passager clandestin, 123p.</w:t>
      </w:r>
    </w:p>
    <w:p w14:paraId="0EC74B4F" w14:textId="77777777" w:rsidR="00B44926" w:rsidRPr="004249AC" w:rsidRDefault="00B44926" w:rsidP="00FC62D9">
      <w:pPr>
        <w:spacing w:after="0" w:line="276" w:lineRule="auto"/>
        <w:jc w:val="both"/>
        <w:rPr>
          <w:rFonts w:ascii="Times New Roman" w:hAnsi="Times New Roman" w:cs="Times New Roman"/>
          <w:sz w:val="24"/>
          <w:szCs w:val="24"/>
          <w:lang w:val="fr-FR"/>
        </w:rPr>
      </w:pPr>
      <w:proofErr w:type="spellStart"/>
      <w:r w:rsidRPr="004249AC">
        <w:rPr>
          <w:rFonts w:ascii="Times New Roman" w:hAnsi="Times New Roman" w:cs="Times New Roman"/>
          <w:sz w:val="24"/>
          <w:szCs w:val="24"/>
          <w:lang w:val="en-US"/>
        </w:rPr>
        <w:t>Kovras</w:t>
      </w:r>
      <w:proofErr w:type="spellEnd"/>
      <w:r w:rsidRPr="004249AC">
        <w:rPr>
          <w:rFonts w:ascii="Times New Roman" w:hAnsi="Times New Roman" w:cs="Times New Roman"/>
          <w:sz w:val="24"/>
          <w:szCs w:val="24"/>
          <w:lang w:val="en-US"/>
        </w:rPr>
        <w:t>, I., &amp; Robins, S. (2016). Death at the border: Managing missing migrants and unidentified bodies at the EU’s Mediterranean frontier. </w:t>
      </w:r>
      <w:proofErr w:type="spellStart"/>
      <w:r w:rsidRPr="004249AC">
        <w:rPr>
          <w:rFonts w:ascii="Times New Roman" w:hAnsi="Times New Roman" w:cs="Times New Roman"/>
          <w:i/>
          <w:iCs/>
          <w:sz w:val="24"/>
          <w:szCs w:val="24"/>
          <w:lang w:val="fr-FR"/>
        </w:rPr>
        <w:t>Political</w:t>
      </w:r>
      <w:proofErr w:type="spellEnd"/>
      <w:r w:rsidRPr="004249AC">
        <w:rPr>
          <w:rFonts w:ascii="Times New Roman" w:hAnsi="Times New Roman" w:cs="Times New Roman"/>
          <w:i/>
          <w:iCs/>
          <w:sz w:val="24"/>
          <w:szCs w:val="24"/>
          <w:lang w:val="fr-FR"/>
        </w:rPr>
        <w:t xml:space="preserve"> </w:t>
      </w:r>
      <w:proofErr w:type="spellStart"/>
      <w:r w:rsidRPr="004249AC">
        <w:rPr>
          <w:rFonts w:ascii="Times New Roman" w:hAnsi="Times New Roman" w:cs="Times New Roman"/>
          <w:i/>
          <w:iCs/>
          <w:sz w:val="24"/>
          <w:szCs w:val="24"/>
          <w:lang w:val="fr-FR"/>
        </w:rPr>
        <w:t>Geography</w:t>
      </w:r>
      <w:proofErr w:type="spellEnd"/>
      <w:r w:rsidRPr="004249AC">
        <w:rPr>
          <w:rFonts w:ascii="Times New Roman" w:hAnsi="Times New Roman" w:cs="Times New Roman"/>
          <w:sz w:val="24"/>
          <w:szCs w:val="24"/>
          <w:lang w:val="fr-FR"/>
        </w:rPr>
        <w:t>, 55, 40–49. </w:t>
      </w:r>
      <w:hyperlink r:id="rId17" w:history="1">
        <w:r w:rsidRPr="004249AC">
          <w:rPr>
            <w:rStyle w:val="Lienhypertexte"/>
            <w:rFonts w:ascii="Times New Roman" w:hAnsi="Times New Roman" w:cs="Times New Roman"/>
            <w:color w:val="auto"/>
            <w:sz w:val="24"/>
            <w:szCs w:val="24"/>
            <w:lang w:val="fr-FR"/>
          </w:rPr>
          <w:t>https://doi.org/10.1016/j.polgeo.2016.06.003</w:t>
        </w:r>
      </w:hyperlink>
      <w:r w:rsidRPr="004249AC">
        <w:rPr>
          <w:rFonts w:ascii="Times New Roman" w:hAnsi="Times New Roman" w:cs="Times New Roman"/>
          <w:sz w:val="24"/>
          <w:szCs w:val="24"/>
          <w:lang w:val="fr-FR"/>
        </w:rPr>
        <w:t xml:space="preserve"> </w:t>
      </w:r>
    </w:p>
    <w:p w14:paraId="50EB5B2B" w14:textId="77777777" w:rsidR="00B44926" w:rsidRPr="004249AC" w:rsidRDefault="00B44926" w:rsidP="00FC62D9">
      <w:pPr>
        <w:pStyle w:val="NormalWeb"/>
        <w:spacing w:before="0" w:beforeAutospacing="0" w:after="0" w:afterAutospacing="0" w:line="276" w:lineRule="auto"/>
        <w:jc w:val="both"/>
      </w:pPr>
      <w:proofErr w:type="spellStart"/>
      <w:r w:rsidRPr="004249AC">
        <w:t>Lazzarotti</w:t>
      </w:r>
      <w:proofErr w:type="spellEnd"/>
      <w:r w:rsidRPr="004249AC">
        <w:t xml:space="preserve">, O. (2012). </w:t>
      </w:r>
      <w:r w:rsidRPr="004249AC">
        <w:rPr>
          <w:i/>
          <w:iCs/>
        </w:rPr>
        <w:t>Des lieux pour mémoires : Monuments, patrimoines et mémoires-Monde</w:t>
      </w:r>
      <w:r w:rsidRPr="004249AC">
        <w:t>. Armand Colin.</w:t>
      </w:r>
    </w:p>
    <w:p w14:paraId="70154E2B" w14:textId="77777777" w:rsidR="00B44926" w:rsidRPr="004249AC" w:rsidRDefault="00B44926" w:rsidP="00FC62D9">
      <w:pPr>
        <w:pStyle w:val="NormalWeb"/>
        <w:spacing w:before="0" w:beforeAutospacing="0" w:after="0" w:afterAutospacing="0" w:line="276" w:lineRule="auto"/>
        <w:jc w:val="both"/>
      </w:pPr>
      <w:r w:rsidRPr="004249AC">
        <w:t xml:space="preserve">Lestage, F. (2008). </w:t>
      </w:r>
      <w:r w:rsidRPr="004249AC">
        <w:rPr>
          <w:rStyle w:val="Accentuation"/>
        </w:rPr>
        <w:t>Le dernier voyage des migrants mexicains. Ethnographie du retour des défunts</w:t>
      </w:r>
      <w:r w:rsidRPr="004249AC">
        <w:t xml:space="preserve">. </w:t>
      </w:r>
      <w:r w:rsidRPr="004249AC">
        <w:rPr>
          <w:rStyle w:val="Accentuation"/>
        </w:rPr>
        <w:t>Caravelle</w:t>
      </w:r>
      <w:r w:rsidRPr="004249AC">
        <w:t>, 91, 131–148.</w:t>
      </w:r>
    </w:p>
    <w:p w14:paraId="7C64C7BF" w14:textId="77777777" w:rsidR="00B44926" w:rsidRPr="004249AC" w:rsidRDefault="00B44926" w:rsidP="00FC62D9">
      <w:pPr>
        <w:pStyle w:val="NormalWeb"/>
        <w:spacing w:before="0" w:beforeAutospacing="0" w:after="0" w:afterAutospacing="0" w:line="276" w:lineRule="auto"/>
        <w:jc w:val="both"/>
      </w:pPr>
      <w:r w:rsidRPr="004249AC">
        <w:t xml:space="preserve">Lestage, F., &amp; </w:t>
      </w:r>
      <w:proofErr w:type="spellStart"/>
      <w:r w:rsidRPr="004249AC">
        <w:t>Raulin</w:t>
      </w:r>
      <w:proofErr w:type="spellEnd"/>
      <w:r w:rsidRPr="004249AC">
        <w:t>, A. (</w:t>
      </w:r>
      <w:proofErr w:type="spellStart"/>
      <w:r w:rsidRPr="004249AC">
        <w:t>Dirs</w:t>
      </w:r>
      <w:proofErr w:type="spellEnd"/>
      <w:r w:rsidRPr="004249AC">
        <w:t xml:space="preserve">.). (2012). </w:t>
      </w:r>
      <w:r w:rsidRPr="004249AC">
        <w:rPr>
          <w:rStyle w:val="Accentuation"/>
        </w:rPr>
        <w:t>Editorial : La mort en migration</w:t>
      </w:r>
      <w:r w:rsidRPr="004249AC">
        <w:t xml:space="preserve">. </w:t>
      </w:r>
      <w:r w:rsidRPr="004249AC">
        <w:rPr>
          <w:rStyle w:val="Accentuation"/>
        </w:rPr>
        <w:t>Revue européenne des migrations internationales</w:t>
      </w:r>
      <w:r w:rsidRPr="004249AC">
        <w:t>, 28(3), 7–12</w:t>
      </w:r>
    </w:p>
    <w:p w14:paraId="414FDB9B" w14:textId="77777777" w:rsidR="00B44926" w:rsidRPr="004249AC" w:rsidRDefault="00B44926" w:rsidP="00FC62D9">
      <w:pPr>
        <w:pStyle w:val="NormalWeb"/>
        <w:spacing w:before="0" w:beforeAutospacing="0" w:after="0" w:afterAutospacing="0" w:line="276" w:lineRule="auto"/>
        <w:jc w:val="both"/>
      </w:pPr>
      <w:r w:rsidRPr="004249AC">
        <w:t>Lestage, F. (2019). Comment les cadavres des migrants sont devenus des objets sociologiques. Notes sur quelques travaux en sciences humaines et sociales (2012-2018). </w:t>
      </w:r>
      <w:r w:rsidRPr="004249AC">
        <w:rPr>
          <w:i/>
          <w:iCs/>
        </w:rPr>
        <w:t>Critique internationale, 83</w:t>
      </w:r>
      <w:r w:rsidRPr="004249AC">
        <w:t>(2), 193-203.</w:t>
      </w:r>
    </w:p>
    <w:p w14:paraId="2FA88E78" w14:textId="053C1FDB" w:rsidR="00B44926" w:rsidRPr="004249AC" w:rsidRDefault="00B44926" w:rsidP="00FC62D9">
      <w:pPr>
        <w:pStyle w:val="NormalWeb"/>
        <w:spacing w:before="0" w:beforeAutospacing="0" w:after="0" w:afterAutospacing="0" w:line="276" w:lineRule="auto"/>
        <w:jc w:val="both"/>
        <w:rPr>
          <w:rStyle w:val="Lienhypertexte"/>
          <w:rFonts w:eastAsia="Calibri"/>
          <w:color w:val="auto"/>
          <w:lang w:val="en-GB"/>
        </w:rPr>
      </w:pPr>
      <w:r w:rsidRPr="004249AC">
        <w:t>Louer-</w:t>
      </w:r>
      <w:proofErr w:type="spellStart"/>
      <w:r w:rsidRPr="004249AC">
        <w:t>Saingeorgie</w:t>
      </w:r>
      <w:proofErr w:type="spellEnd"/>
      <w:r w:rsidRPr="004249AC">
        <w:t>, P. (2024). L’ultime mobilité. Des espaces du mourir aux espaces des morts, les trajectoires des morts à Douarnenez (Finistère, France). </w:t>
      </w:r>
      <w:proofErr w:type="spellStart"/>
      <w:r w:rsidRPr="004249AC">
        <w:rPr>
          <w:i/>
          <w:iCs/>
          <w:lang w:val="en-GB"/>
        </w:rPr>
        <w:t>Frontières</w:t>
      </w:r>
      <w:proofErr w:type="spellEnd"/>
      <w:r w:rsidRPr="004249AC">
        <w:rPr>
          <w:lang w:val="en-GB"/>
        </w:rPr>
        <w:t>, </w:t>
      </w:r>
      <w:r w:rsidRPr="004249AC">
        <w:rPr>
          <w:i/>
          <w:iCs/>
          <w:lang w:val="en-GB"/>
        </w:rPr>
        <w:t>35</w:t>
      </w:r>
      <w:r w:rsidRPr="004249AC">
        <w:rPr>
          <w:lang w:val="en-GB"/>
        </w:rPr>
        <w:t xml:space="preserve">(2). </w:t>
      </w:r>
      <w:hyperlink r:id="rId18" w:history="1">
        <w:r w:rsidRPr="004249AC">
          <w:rPr>
            <w:rStyle w:val="Lienhypertexte"/>
            <w:rFonts w:eastAsia="Calibri"/>
            <w:color w:val="auto"/>
            <w:lang w:val="en-GB"/>
          </w:rPr>
          <w:t>https://doi.org/10.7202/1115282ar</w:t>
        </w:r>
      </w:hyperlink>
    </w:p>
    <w:p w14:paraId="6935F46C" w14:textId="77777777" w:rsidR="00B44926" w:rsidRPr="004249AC" w:rsidRDefault="00B44926" w:rsidP="00FC62D9">
      <w:pPr>
        <w:spacing w:after="0" w:line="276" w:lineRule="auto"/>
        <w:jc w:val="both"/>
        <w:rPr>
          <w:rFonts w:ascii="Times New Roman" w:hAnsi="Times New Roman" w:cs="Times New Roman"/>
          <w:sz w:val="24"/>
          <w:szCs w:val="24"/>
          <w:lang w:val="en-US"/>
        </w:rPr>
      </w:pPr>
      <w:proofErr w:type="spellStart"/>
      <w:r w:rsidRPr="004249AC">
        <w:rPr>
          <w:rFonts w:ascii="Times New Roman" w:hAnsi="Times New Roman" w:cs="Times New Roman"/>
          <w:sz w:val="24"/>
          <w:szCs w:val="24"/>
          <w:lang w:val="en-US"/>
        </w:rPr>
        <w:t>Maddrell</w:t>
      </w:r>
      <w:proofErr w:type="spellEnd"/>
      <w:r w:rsidRPr="004249AC">
        <w:rPr>
          <w:rFonts w:ascii="Times New Roman" w:hAnsi="Times New Roman" w:cs="Times New Roman"/>
          <w:sz w:val="24"/>
          <w:szCs w:val="24"/>
          <w:lang w:val="en-US"/>
        </w:rPr>
        <w:t xml:space="preserve">, A. (2010). Memory, mourning and landscape in the Scottish mountains: Discourses of wilderness, gender and entitlement in online debates on mountainside memorials. In E. Anderson, B. T. T. Ashgate, &amp; A. </w:t>
      </w:r>
      <w:proofErr w:type="spellStart"/>
      <w:r w:rsidRPr="004249AC">
        <w:rPr>
          <w:rFonts w:ascii="Times New Roman" w:hAnsi="Times New Roman" w:cs="Times New Roman"/>
          <w:sz w:val="24"/>
          <w:szCs w:val="24"/>
          <w:lang w:val="en-US"/>
        </w:rPr>
        <w:t>Maddrell</w:t>
      </w:r>
      <w:proofErr w:type="spellEnd"/>
      <w:r w:rsidRPr="004249AC">
        <w:rPr>
          <w:rFonts w:ascii="Times New Roman" w:hAnsi="Times New Roman" w:cs="Times New Roman"/>
          <w:sz w:val="24"/>
          <w:szCs w:val="24"/>
          <w:lang w:val="en-US"/>
        </w:rPr>
        <w:t xml:space="preserve"> (Eds.), </w:t>
      </w:r>
      <w:r w:rsidRPr="004249AC">
        <w:rPr>
          <w:rFonts w:ascii="Times New Roman" w:hAnsi="Times New Roman" w:cs="Times New Roman"/>
          <w:i/>
          <w:iCs/>
          <w:sz w:val="24"/>
          <w:szCs w:val="24"/>
          <w:lang w:val="en-US"/>
        </w:rPr>
        <w:t>Memory, mourning and landscape</w:t>
      </w:r>
      <w:r w:rsidRPr="004249AC">
        <w:rPr>
          <w:rFonts w:ascii="Times New Roman" w:hAnsi="Times New Roman" w:cs="Times New Roman"/>
          <w:sz w:val="24"/>
          <w:szCs w:val="24"/>
          <w:lang w:val="en-US"/>
        </w:rPr>
        <w:t xml:space="preserve"> (pp. 143–170). Brill. </w:t>
      </w:r>
      <w:hyperlink r:id="rId19" w:history="1">
        <w:r w:rsidRPr="004249AC">
          <w:rPr>
            <w:rStyle w:val="Lienhypertexte"/>
            <w:rFonts w:ascii="Times New Roman" w:hAnsi="Times New Roman" w:cs="Times New Roman"/>
            <w:color w:val="auto"/>
            <w:sz w:val="24"/>
            <w:szCs w:val="24"/>
            <w:lang w:val="en-US"/>
          </w:rPr>
          <w:t>https://doi.org/10.1163/9789042030879_008</w:t>
        </w:r>
      </w:hyperlink>
    </w:p>
    <w:p w14:paraId="40D71F0C" w14:textId="77777777" w:rsidR="00B44926" w:rsidRPr="004249AC" w:rsidRDefault="00B44926" w:rsidP="00FC62D9">
      <w:pPr>
        <w:pStyle w:val="NormalWeb"/>
        <w:spacing w:before="0" w:beforeAutospacing="0" w:after="0" w:afterAutospacing="0" w:line="276" w:lineRule="auto"/>
        <w:jc w:val="both"/>
        <w:rPr>
          <w:rStyle w:val="Lienhypertexte"/>
          <w:rFonts w:eastAsia="Calibri"/>
          <w:color w:val="auto"/>
          <w:lang w:val="en-US"/>
        </w:rPr>
      </w:pPr>
      <w:proofErr w:type="spellStart"/>
      <w:r w:rsidRPr="004249AC">
        <w:rPr>
          <w:lang w:val="en-US"/>
        </w:rPr>
        <w:t>Maddrell</w:t>
      </w:r>
      <w:proofErr w:type="spellEnd"/>
      <w:r w:rsidRPr="004249AC">
        <w:rPr>
          <w:lang w:val="en-US"/>
        </w:rPr>
        <w:t xml:space="preserve">, A., </w:t>
      </w:r>
      <w:proofErr w:type="spellStart"/>
      <w:r w:rsidRPr="004249AC">
        <w:rPr>
          <w:lang w:val="en-US"/>
        </w:rPr>
        <w:t>Kmec</w:t>
      </w:r>
      <w:proofErr w:type="spellEnd"/>
      <w:r w:rsidRPr="004249AC">
        <w:rPr>
          <w:lang w:val="en-US"/>
        </w:rPr>
        <w:t xml:space="preserve">, S., Priya </w:t>
      </w:r>
      <w:proofErr w:type="spellStart"/>
      <w:r w:rsidRPr="004249AC">
        <w:rPr>
          <w:lang w:val="en-US"/>
        </w:rPr>
        <w:t>Uteng</w:t>
      </w:r>
      <w:proofErr w:type="spellEnd"/>
      <w:r w:rsidRPr="004249AC">
        <w:rPr>
          <w:lang w:val="en-US"/>
        </w:rPr>
        <w:t>, T., &amp;</w:t>
      </w:r>
      <w:proofErr w:type="spellStart"/>
      <w:r w:rsidRPr="004249AC">
        <w:rPr>
          <w:lang w:val="en-US"/>
        </w:rPr>
        <w:t>Westendorp</w:t>
      </w:r>
      <w:proofErr w:type="spellEnd"/>
      <w:r w:rsidRPr="004249AC">
        <w:rPr>
          <w:lang w:val="en-US"/>
        </w:rPr>
        <w:t xml:space="preserve">, M. (2023). In </w:t>
      </w:r>
      <w:proofErr w:type="spellStart"/>
      <w:r w:rsidRPr="004249AC">
        <w:rPr>
          <w:lang w:val="en-US"/>
        </w:rPr>
        <w:t>Maddrell</w:t>
      </w:r>
      <w:proofErr w:type="spellEnd"/>
      <w:r w:rsidRPr="004249AC">
        <w:rPr>
          <w:lang w:val="en-US"/>
        </w:rPr>
        <w:t xml:space="preserve"> A., </w:t>
      </w:r>
      <w:proofErr w:type="spellStart"/>
      <w:r w:rsidRPr="004249AC">
        <w:rPr>
          <w:lang w:val="en-US"/>
        </w:rPr>
        <w:t>Kmec</w:t>
      </w:r>
      <w:proofErr w:type="spellEnd"/>
      <w:r w:rsidRPr="004249AC">
        <w:rPr>
          <w:lang w:val="en-US"/>
        </w:rPr>
        <w:t xml:space="preserve"> S., Priya </w:t>
      </w:r>
      <w:proofErr w:type="spellStart"/>
      <w:r w:rsidRPr="004249AC">
        <w:rPr>
          <w:lang w:val="en-US"/>
        </w:rPr>
        <w:t>Uteng</w:t>
      </w:r>
      <w:proofErr w:type="spellEnd"/>
      <w:r w:rsidRPr="004249AC">
        <w:rPr>
          <w:lang w:val="en-US"/>
        </w:rPr>
        <w:t xml:space="preserve"> T. and </w:t>
      </w:r>
      <w:proofErr w:type="spellStart"/>
      <w:r w:rsidRPr="004249AC">
        <w:rPr>
          <w:lang w:val="en-US"/>
        </w:rPr>
        <w:t>Westendorp</w:t>
      </w:r>
      <w:proofErr w:type="spellEnd"/>
      <w:r w:rsidRPr="004249AC">
        <w:rPr>
          <w:lang w:val="en-US"/>
        </w:rPr>
        <w:t xml:space="preserve"> M. (Eds.), </w:t>
      </w:r>
      <w:r w:rsidRPr="004249AC">
        <w:rPr>
          <w:i/>
          <w:iCs/>
          <w:lang w:val="en-US"/>
        </w:rPr>
        <w:t>Mobilities in life and death: Negotiating room for migrants and minorities in European cemeteries</w:t>
      </w:r>
      <w:r w:rsidRPr="004249AC">
        <w:rPr>
          <w:lang w:val="en-US"/>
        </w:rPr>
        <w:t> (1</w:t>
      </w:r>
      <w:r w:rsidRPr="004249AC">
        <w:rPr>
          <w:vertAlign w:val="superscript"/>
          <w:lang w:val="en-US"/>
        </w:rPr>
        <w:t>st</w:t>
      </w:r>
      <w:r w:rsidRPr="004249AC">
        <w:rPr>
          <w:lang w:val="en-US"/>
        </w:rPr>
        <w:t xml:space="preserve"> ed.). Springer Nature. </w:t>
      </w:r>
      <w:hyperlink r:id="rId20" w:tgtFrame="_blank" w:history="1">
        <w:r w:rsidRPr="004249AC">
          <w:rPr>
            <w:rStyle w:val="Lienhypertexte"/>
            <w:rFonts w:eastAsia="Calibri"/>
            <w:color w:val="auto"/>
            <w:lang w:val="en-US"/>
          </w:rPr>
          <w:t>https://doi.org/10.1007/978-3-031-28284-3</w:t>
        </w:r>
      </w:hyperlink>
    </w:p>
    <w:p w14:paraId="17CEF1F8" w14:textId="31A9971D" w:rsidR="00B44926" w:rsidRPr="004249AC" w:rsidRDefault="00B44926" w:rsidP="00FC62D9">
      <w:pPr>
        <w:spacing w:after="0" w:line="276" w:lineRule="auto"/>
        <w:jc w:val="both"/>
        <w:rPr>
          <w:rStyle w:val="Lienhypertexte"/>
          <w:rFonts w:ascii="Times New Roman" w:hAnsi="Times New Roman" w:cs="Times New Roman"/>
          <w:color w:val="auto"/>
          <w:sz w:val="24"/>
          <w:szCs w:val="24"/>
          <w:lang w:val="en-US"/>
        </w:rPr>
      </w:pPr>
      <w:proofErr w:type="spellStart"/>
      <w:r w:rsidRPr="004249AC">
        <w:rPr>
          <w:rFonts w:ascii="Times New Roman" w:hAnsi="Times New Roman" w:cs="Times New Roman"/>
          <w:sz w:val="24"/>
          <w:szCs w:val="24"/>
          <w:lang w:val="en-US"/>
        </w:rPr>
        <w:t>Maddrell</w:t>
      </w:r>
      <w:proofErr w:type="spellEnd"/>
      <w:r w:rsidRPr="004249AC">
        <w:rPr>
          <w:rFonts w:ascii="Times New Roman" w:hAnsi="Times New Roman" w:cs="Times New Roman"/>
          <w:sz w:val="24"/>
          <w:szCs w:val="24"/>
          <w:lang w:val="en-US"/>
        </w:rPr>
        <w:t xml:space="preserve">, A., McNally, D., </w:t>
      </w:r>
      <w:proofErr w:type="spellStart"/>
      <w:r w:rsidRPr="004249AC">
        <w:rPr>
          <w:rFonts w:ascii="Times New Roman" w:hAnsi="Times New Roman" w:cs="Times New Roman"/>
          <w:sz w:val="24"/>
          <w:szCs w:val="24"/>
          <w:lang w:val="en-US"/>
        </w:rPr>
        <w:t>Beebeejaun</w:t>
      </w:r>
      <w:proofErr w:type="spellEnd"/>
      <w:r w:rsidRPr="004249AC">
        <w:rPr>
          <w:rFonts w:ascii="Times New Roman" w:hAnsi="Times New Roman" w:cs="Times New Roman"/>
          <w:sz w:val="24"/>
          <w:szCs w:val="24"/>
          <w:lang w:val="en-US"/>
        </w:rPr>
        <w:t xml:space="preserve">, Y., </w:t>
      </w:r>
      <w:proofErr w:type="spellStart"/>
      <w:r w:rsidRPr="004249AC">
        <w:rPr>
          <w:rFonts w:ascii="Times New Roman" w:hAnsi="Times New Roman" w:cs="Times New Roman"/>
          <w:sz w:val="24"/>
          <w:szCs w:val="24"/>
          <w:lang w:val="en-US"/>
        </w:rPr>
        <w:t>McClymont</w:t>
      </w:r>
      <w:proofErr w:type="spellEnd"/>
      <w:r w:rsidRPr="004249AC">
        <w:rPr>
          <w:rFonts w:ascii="Times New Roman" w:hAnsi="Times New Roman" w:cs="Times New Roman"/>
          <w:sz w:val="24"/>
          <w:szCs w:val="24"/>
          <w:lang w:val="en-US"/>
        </w:rPr>
        <w:t>, K., &amp;</w:t>
      </w:r>
      <w:proofErr w:type="spellStart"/>
      <w:r w:rsidRPr="004249AC">
        <w:rPr>
          <w:rFonts w:ascii="Times New Roman" w:hAnsi="Times New Roman" w:cs="Times New Roman"/>
          <w:sz w:val="24"/>
          <w:szCs w:val="24"/>
          <w:lang w:val="en-US"/>
        </w:rPr>
        <w:t>Mathijssen</w:t>
      </w:r>
      <w:proofErr w:type="spellEnd"/>
      <w:r w:rsidRPr="004249AC">
        <w:rPr>
          <w:rFonts w:ascii="Times New Roman" w:hAnsi="Times New Roman" w:cs="Times New Roman"/>
          <w:sz w:val="24"/>
          <w:szCs w:val="24"/>
          <w:lang w:val="en-US"/>
        </w:rPr>
        <w:t>, B. (2021). Intersections of (infra)structural violence and cultural inclusion: The geopolitics of minority cemeteries and crematoria provision.</w:t>
      </w:r>
      <w:r w:rsidRPr="004249AC">
        <w:rPr>
          <w:rFonts w:ascii="Times New Roman" w:hAnsi="Times New Roman" w:cs="Times New Roman"/>
          <w:i/>
          <w:iCs/>
          <w:sz w:val="24"/>
          <w:szCs w:val="24"/>
          <w:lang w:val="en-US"/>
        </w:rPr>
        <w:t> Transactions - Institute of British Geographers (1965), 46</w:t>
      </w:r>
      <w:r w:rsidRPr="004249AC">
        <w:rPr>
          <w:rFonts w:ascii="Times New Roman" w:hAnsi="Times New Roman" w:cs="Times New Roman"/>
          <w:sz w:val="24"/>
          <w:szCs w:val="24"/>
          <w:lang w:val="en-US"/>
        </w:rPr>
        <w:t>(3), 675-688. </w:t>
      </w:r>
      <w:hyperlink r:id="rId21" w:tgtFrame="_blank" w:history="1">
        <w:r w:rsidRPr="004249AC">
          <w:rPr>
            <w:rStyle w:val="Lienhypertexte"/>
            <w:rFonts w:ascii="Times New Roman" w:hAnsi="Times New Roman" w:cs="Times New Roman"/>
            <w:color w:val="auto"/>
            <w:sz w:val="24"/>
            <w:szCs w:val="24"/>
            <w:lang w:val="en-US"/>
          </w:rPr>
          <w:t>https://doi.org/10.1111/tran.12437</w:t>
        </w:r>
      </w:hyperlink>
    </w:p>
    <w:p w14:paraId="567AAF4D" w14:textId="77777777" w:rsidR="00001621" w:rsidRPr="004249AC" w:rsidRDefault="00001621" w:rsidP="00FC62D9">
      <w:pPr>
        <w:pStyle w:val="NormalWeb"/>
        <w:spacing w:before="0" w:beforeAutospacing="0" w:after="0" w:afterAutospacing="0" w:line="276" w:lineRule="auto"/>
        <w:jc w:val="both"/>
        <w:rPr>
          <w:lang w:val="en-GB"/>
        </w:rPr>
      </w:pPr>
      <w:proofErr w:type="spellStart"/>
      <w:r w:rsidRPr="004249AC">
        <w:rPr>
          <w:lang w:val="en-US"/>
        </w:rPr>
        <w:t>Maddrell</w:t>
      </w:r>
      <w:proofErr w:type="spellEnd"/>
      <w:r w:rsidRPr="004249AC">
        <w:rPr>
          <w:lang w:val="en-US"/>
        </w:rPr>
        <w:t xml:space="preserve">, A., &amp; </w:t>
      </w:r>
      <w:proofErr w:type="spellStart"/>
      <w:r w:rsidRPr="004249AC">
        <w:rPr>
          <w:lang w:val="en-US"/>
        </w:rPr>
        <w:t>Sidaway</w:t>
      </w:r>
      <w:proofErr w:type="spellEnd"/>
      <w:r w:rsidRPr="004249AC">
        <w:rPr>
          <w:lang w:val="en-US"/>
        </w:rPr>
        <w:t xml:space="preserve">, J. D. (Eds.). (2010). </w:t>
      </w:r>
      <w:proofErr w:type="spellStart"/>
      <w:r w:rsidRPr="004249AC">
        <w:rPr>
          <w:i/>
          <w:iCs/>
          <w:lang w:val="en-US"/>
        </w:rPr>
        <w:t>Deathscapes</w:t>
      </w:r>
      <w:proofErr w:type="spellEnd"/>
      <w:r w:rsidRPr="004249AC">
        <w:rPr>
          <w:i/>
          <w:iCs/>
          <w:lang w:val="en-US"/>
        </w:rPr>
        <w:t>: Spaces for death, dying, mourning and remembrance</w:t>
      </w:r>
      <w:r w:rsidRPr="004249AC">
        <w:rPr>
          <w:lang w:val="en-US"/>
        </w:rPr>
        <w:t xml:space="preserve"> (1</w:t>
      </w:r>
      <w:r w:rsidRPr="004249AC">
        <w:rPr>
          <w:vertAlign w:val="superscript"/>
          <w:lang w:val="en-US"/>
        </w:rPr>
        <w:t>st</w:t>
      </w:r>
      <w:r w:rsidRPr="004249AC">
        <w:rPr>
          <w:lang w:val="en-US"/>
        </w:rPr>
        <w:t xml:space="preserve"> ed.). </w:t>
      </w:r>
      <w:r w:rsidRPr="004249AC">
        <w:rPr>
          <w:lang w:val="en-GB"/>
        </w:rPr>
        <w:t>Routledge.</w:t>
      </w:r>
    </w:p>
    <w:p w14:paraId="4D9BDD6C" w14:textId="1D7F58C1" w:rsidR="00C64F45" w:rsidRPr="004249AC" w:rsidRDefault="00C64F45" w:rsidP="00FC62D9">
      <w:pPr>
        <w:spacing w:after="0" w:line="276" w:lineRule="auto"/>
        <w:jc w:val="both"/>
        <w:rPr>
          <w:rFonts w:ascii="Times New Roman" w:hAnsi="Times New Roman" w:cs="Times New Roman"/>
          <w:sz w:val="24"/>
          <w:szCs w:val="24"/>
          <w:lang w:val="fr-FR"/>
        </w:rPr>
      </w:pPr>
      <w:proofErr w:type="spellStart"/>
      <w:r w:rsidRPr="004249AC">
        <w:rPr>
          <w:rFonts w:ascii="Times New Roman" w:hAnsi="Times New Roman" w:cs="Times New Roman"/>
          <w:sz w:val="24"/>
          <w:szCs w:val="24"/>
          <w:lang w:val="en-US"/>
        </w:rPr>
        <w:t>Masarwa</w:t>
      </w:r>
      <w:proofErr w:type="spellEnd"/>
      <w:r w:rsidRPr="004249AC">
        <w:rPr>
          <w:rFonts w:ascii="Times New Roman" w:hAnsi="Times New Roman" w:cs="Times New Roman"/>
          <w:sz w:val="24"/>
          <w:szCs w:val="24"/>
          <w:lang w:val="en-US"/>
        </w:rPr>
        <w:t xml:space="preserve">, Y. (2022). From “We are at War” to “They are martyrs”: Burial and body repatriation among Muslims in Marseilles during the Covid-19 Pandemic. </w:t>
      </w:r>
      <w:r w:rsidRPr="004249AC">
        <w:rPr>
          <w:rFonts w:ascii="Times New Roman" w:hAnsi="Times New Roman" w:cs="Times New Roman"/>
          <w:sz w:val="24"/>
          <w:szCs w:val="24"/>
          <w:lang w:val="fr-FR"/>
        </w:rPr>
        <w:t>Études sur la mort, 158(2), 55-69. https://doi.org/10.3917/e.eslm.158.0055.</w:t>
      </w:r>
    </w:p>
    <w:p w14:paraId="1117EB73" w14:textId="7114FF87" w:rsidR="00B44926" w:rsidRPr="004249AC" w:rsidRDefault="00B44926" w:rsidP="00FC62D9">
      <w:pPr>
        <w:spacing w:after="0" w:line="276" w:lineRule="auto"/>
        <w:jc w:val="both"/>
        <w:rPr>
          <w:rFonts w:ascii="Times New Roman" w:hAnsi="Times New Roman" w:cs="Times New Roman"/>
          <w:sz w:val="24"/>
          <w:szCs w:val="24"/>
          <w:lang w:val="fr-FR"/>
        </w:rPr>
      </w:pPr>
      <w:proofErr w:type="spellStart"/>
      <w:r w:rsidRPr="004249AC">
        <w:rPr>
          <w:rFonts w:ascii="Times New Roman" w:hAnsi="Times New Roman" w:cs="Times New Roman"/>
          <w:sz w:val="24"/>
          <w:szCs w:val="24"/>
          <w:lang w:val="fr-FR"/>
        </w:rPr>
        <w:t>Metcalf</w:t>
      </w:r>
      <w:proofErr w:type="spellEnd"/>
      <w:r w:rsidRPr="004249AC">
        <w:rPr>
          <w:rFonts w:ascii="Times New Roman" w:hAnsi="Times New Roman" w:cs="Times New Roman"/>
          <w:sz w:val="24"/>
          <w:szCs w:val="24"/>
          <w:lang w:val="fr-FR"/>
        </w:rPr>
        <w:t>, P., &amp; Huntington, R. (1991). </w:t>
      </w:r>
      <w:r w:rsidRPr="004249AC">
        <w:rPr>
          <w:rFonts w:ascii="Times New Roman" w:hAnsi="Times New Roman" w:cs="Times New Roman"/>
          <w:i/>
          <w:iCs/>
          <w:sz w:val="24"/>
          <w:szCs w:val="24"/>
          <w:lang w:val="en-US"/>
        </w:rPr>
        <w:t>Celebrations of death: The anthropology of mortuary ritual</w:t>
      </w:r>
      <w:r w:rsidRPr="004249AC">
        <w:rPr>
          <w:rFonts w:ascii="Times New Roman" w:hAnsi="Times New Roman" w:cs="Times New Roman"/>
          <w:sz w:val="24"/>
          <w:szCs w:val="24"/>
          <w:lang w:val="en-US"/>
        </w:rPr>
        <w:t> (2</w:t>
      </w:r>
      <w:r w:rsidRPr="004249AC">
        <w:rPr>
          <w:rFonts w:ascii="Times New Roman" w:hAnsi="Times New Roman" w:cs="Times New Roman"/>
          <w:sz w:val="24"/>
          <w:szCs w:val="24"/>
          <w:vertAlign w:val="superscript"/>
          <w:lang w:val="en-US"/>
        </w:rPr>
        <w:t>nd</w:t>
      </w:r>
      <w:r w:rsidRPr="004249AC">
        <w:rPr>
          <w:rFonts w:ascii="Times New Roman" w:hAnsi="Times New Roman" w:cs="Times New Roman"/>
          <w:sz w:val="24"/>
          <w:szCs w:val="24"/>
          <w:lang w:val="en-US"/>
        </w:rPr>
        <w:t xml:space="preserve">). </w:t>
      </w:r>
      <w:r w:rsidRPr="004249AC">
        <w:rPr>
          <w:rFonts w:ascii="Times New Roman" w:hAnsi="Times New Roman" w:cs="Times New Roman"/>
          <w:sz w:val="24"/>
          <w:szCs w:val="24"/>
          <w:lang w:val="fr-FR"/>
        </w:rPr>
        <w:t xml:space="preserve">Cambridge </w:t>
      </w:r>
      <w:proofErr w:type="spellStart"/>
      <w:r w:rsidRPr="004249AC">
        <w:rPr>
          <w:rFonts w:ascii="Times New Roman" w:hAnsi="Times New Roman" w:cs="Times New Roman"/>
          <w:sz w:val="24"/>
          <w:szCs w:val="24"/>
          <w:lang w:val="fr-FR"/>
        </w:rPr>
        <w:t>University</w:t>
      </w:r>
      <w:proofErr w:type="spellEnd"/>
      <w:r w:rsidRPr="004249AC">
        <w:rPr>
          <w:rFonts w:ascii="Times New Roman" w:hAnsi="Times New Roman" w:cs="Times New Roman"/>
          <w:sz w:val="24"/>
          <w:szCs w:val="24"/>
          <w:lang w:val="fr-FR"/>
        </w:rPr>
        <w:t xml:space="preserve"> </w:t>
      </w:r>
      <w:proofErr w:type="spellStart"/>
      <w:r w:rsidRPr="004249AC">
        <w:rPr>
          <w:rFonts w:ascii="Times New Roman" w:hAnsi="Times New Roman" w:cs="Times New Roman"/>
          <w:sz w:val="24"/>
          <w:szCs w:val="24"/>
          <w:lang w:val="fr-FR"/>
        </w:rPr>
        <w:t>Press</w:t>
      </w:r>
      <w:proofErr w:type="spellEnd"/>
      <w:r w:rsidRPr="004249AC">
        <w:rPr>
          <w:rFonts w:ascii="Times New Roman" w:hAnsi="Times New Roman" w:cs="Times New Roman"/>
          <w:sz w:val="24"/>
          <w:szCs w:val="24"/>
          <w:lang w:val="fr-FR"/>
        </w:rPr>
        <w:t>. </w:t>
      </w:r>
      <w:hyperlink r:id="rId22" w:tgtFrame="_blank" w:history="1">
        <w:r w:rsidRPr="004249AC">
          <w:rPr>
            <w:rStyle w:val="Lienhypertexte"/>
            <w:rFonts w:ascii="Times New Roman" w:hAnsi="Times New Roman" w:cs="Times New Roman"/>
            <w:color w:val="auto"/>
            <w:sz w:val="24"/>
            <w:szCs w:val="24"/>
            <w:lang w:val="fr-FR"/>
          </w:rPr>
          <w:t>https://doi.org/10.1017/CBO9780511803178</w:t>
        </w:r>
      </w:hyperlink>
    </w:p>
    <w:p w14:paraId="552C6F43" w14:textId="77777777" w:rsidR="00B44926" w:rsidRPr="004249AC" w:rsidRDefault="00B44926" w:rsidP="00FC62D9">
      <w:pPr>
        <w:spacing w:after="0" w:line="276" w:lineRule="auto"/>
        <w:jc w:val="both"/>
        <w:rPr>
          <w:rFonts w:ascii="Times New Roman" w:hAnsi="Times New Roman" w:cs="Times New Roman"/>
          <w:sz w:val="24"/>
          <w:szCs w:val="24"/>
          <w:lang w:val="en-US"/>
        </w:rPr>
      </w:pPr>
      <w:r w:rsidRPr="004249AC">
        <w:rPr>
          <w:rFonts w:ascii="Times New Roman" w:hAnsi="Times New Roman" w:cs="Times New Roman"/>
          <w:sz w:val="24"/>
          <w:szCs w:val="24"/>
          <w:lang w:val="fr-FR"/>
        </w:rPr>
        <w:t xml:space="preserve">Moreras, J., &amp; </w:t>
      </w:r>
      <w:proofErr w:type="spellStart"/>
      <w:r w:rsidRPr="004249AC">
        <w:rPr>
          <w:rFonts w:ascii="Times New Roman" w:hAnsi="Times New Roman" w:cs="Times New Roman"/>
          <w:sz w:val="24"/>
          <w:szCs w:val="24"/>
          <w:lang w:val="fr-FR"/>
        </w:rPr>
        <w:t>Solé</w:t>
      </w:r>
      <w:proofErr w:type="spellEnd"/>
      <w:r w:rsidRPr="004249AC">
        <w:rPr>
          <w:rFonts w:ascii="Times New Roman" w:hAnsi="Times New Roman" w:cs="Times New Roman"/>
          <w:sz w:val="24"/>
          <w:szCs w:val="24"/>
          <w:lang w:val="fr-FR"/>
        </w:rPr>
        <w:t xml:space="preserve"> </w:t>
      </w:r>
      <w:proofErr w:type="spellStart"/>
      <w:r w:rsidRPr="004249AC">
        <w:rPr>
          <w:rFonts w:ascii="Times New Roman" w:hAnsi="Times New Roman" w:cs="Times New Roman"/>
          <w:sz w:val="24"/>
          <w:szCs w:val="24"/>
          <w:lang w:val="fr-FR"/>
        </w:rPr>
        <w:t>Arraràs</w:t>
      </w:r>
      <w:proofErr w:type="spellEnd"/>
      <w:r w:rsidRPr="004249AC">
        <w:rPr>
          <w:rFonts w:ascii="Times New Roman" w:hAnsi="Times New Roman" w:cs="Times New Roman"/>
          <w:sz w:val="24"/>
          <w:szCs w:val="24"/>
          <w:lang w:val="fr-FR"/>
        </w:rPr>
        <w:t xml:space="preserve">, A. (2023). Les morts sans repos. Propos pour une anthropologie du rapatriement. In C. </w:t>
      </w:r>
      <w:proofErr w:type="spellStart"/>
      <w:r w:rsidRPr="004249AC">
        <w:rPr>
          <w:rFonts w:ascii="Times New Roman" w:hAnsi="Times New Roman" w:cs="Times New Roman"/>
          <w:sz w:val="24"/>
          <w:szCs w:val="24"/>
          <w:lang w:val="fr-FR"/>
        </w:rPr>
        <w:t>Kobelinsky</w:t>
      </w:r>
      <w:proofErr w:type="spellEnd"/>
      <w:r w:rsidRPr="004249AC">
        <w:rPr>
          <w:rFonts w:ascii="Times New Roman" w:hAnsi="Times New Roman" w:cs="Times New Roman"/>
          <w:sz w:val="24"/>
          <w:szCs w:val="24"/>
          <w:lang w:val="fr-FR"/>
        </w:rPr>
        <w:t xml:space="preserve"> &amp; L. </w:t>
      </w:r>
      <w:proofErr w:type="spellStart"/>
      <w:r w:rsidRPr="004249AC">
        <w:rPr>
          <w:rFonts w:ascii="Times New Roman" w:hAnsi="Times New Roman" w:cs="Times New Roman"/>
          <w:sz w:val="24"/>
          <w:szCs w:val="24"/>
          <w:lang w:val="fr-FR"/>
        </w:rPr>
        <w:t>Rachédi</w:t>
      </w:r>
      <w:proofErr w:type="spellEnd"/>
      <w:r w:rsidRPr="004249AC">
        <w:rPr>
          <w:rFonts w:ascii="Times New Roman" w:hAnsi="Times New Roman" w:cs="Times New Roman"/>
          <w:sz w:val="24"/>
          <w:szCs w:val="24"/>
          <w:lang w:val="fr-FR"/>
        </w:rPr>
        <w:t xml:space="preserve"> (</w:t>
      </w:r>
      <w:proofErr w:type="spellStart"/>
      <w:r w:rsidRPr="004249AC">
        <w:rPr>
          <w:rFonts w:ascii="Times New Roman" w:hAnsi="Times New Roman" w:cs="Times New Roman"/>
          <w:sz w:val="24"/>
          <w:szCs w:val="24"/>
          <w:lang w:val="fr-FR"/>
        </w:rPr>
        <w:t>Éds</w:t>
      </w:r>
      <w:proofErr w:type="spellEnd"/>
      <w:r w:rsidRPr="004249AC">
        <w:rPr>
          <w:rFonts w:ascii="Times New Roman" w:hAnsi="Times New Roman" w:cs="Times New Roman"/>
          <w:sz w:val="24"/>
          <w:szCs w:val="24"/>
          <w:lang w:val="fr-FR"/>
        </w:rPr>
        <w:t xml:space="preserve">.), </w:t>
      </w:r>
      <w:r w:rsidRPr="004249AC">
        <w:rPr>
          <w:rStyle w:val="Accentuation"/>
          <w:rFonts w:ascii="Times New Roman" w:hAnsi="Times New Roman" w:cs="Times New Roman"/>
          <w:sz w:val="24"/>
          <w:szCs w:val="24"/>
          <w:lang w:val="fr-FR"/>
        </w:rPr>
        <w:t>Traces et mobilités posthumes : Rêver les futurs des défunts en contextes migratoires</w:t>
      </w:r>
      <w:r w:rsidRPr="004249AC">
        <w:rPr>
          <w:rFonts w:ascii="Times New Roman" w:hAnsi="Times New Roman" w:cs="Times New Roman"/>
          <w:sz w:val="24"/>
          <w:szCs w:val="24"/>
          <w:lang w:val="fr-FR"/>
        </w:rPr>
        <w:t xml:space="preserve">, p. 181-201. </w:t>
      </w:r>
      <w:r w:rsidRPr="004249AC">
        <w:rPr>
          <w:rFonts w:ascii="Times New Roman" w:hAnsi="Times New Roman" w:cs="Times New Roman"/>
          <w:sz w:val="24"/>
          <w:szCs w:val="24"/>
          <w:lang w:val="en-US"/>
        </w:rPr>
        <w:t>Éditions Petra.</w:t>
      </w:r>
    </w:p>
    <w:p w14:paraId="3497105E" w14:textId="77777777" w:rsidR="00670ADF" w:rsidRPr="004249AC" w:rsidRDefault="00713A65" w:rsidP="00FC62D9">
      <w:pPr>
        <w:spacing w:after="0"/>
        <w:jc w:val="both"/>
        <w:rPr>
          <w:rFonts w:ascii="Times New Roman" w:hAnsi="Times New Roman" w:cs="Times New Roman"/>
          <w:sz w:val="24"/>
          <w:szCs w:val="24"/>
          <w:lang w:val="en-US"/>
        </w:rPr>
      </w:pPr>
      <w:r w:rsidRPr="004249AC">
        <w:rPr>
          <w:rFonts w:ascii="Times New Roman" w:hAnsi="Times New Roman" w:cs="Times New Roman"/>
          <w:sz w:val="24"/>
          <w:szCs w:val="24"/>
        </w:rPr>
        <w:t>Metcalf, P., &amp; Huntington, R. (1991). </w:t>
      </w:r>
      <w:r w:rsidRPr="004249AC">
        <w:rPr>
          <w:rFonts w:ascii="Times New Roman" w:hAnsi="Times New Roman" w:cs="Times New Roman"/>
          <w:i/>
          <w:iCs/>
          <w:sz w:val="24"/>
          <w:szCs w:val="24"/>
          <w:lang w:val="en-US"/>
        </w:rPr>
        <w:t>Celebrations of death: The anthropology of mortuary ritual</w:t>
      </w:r>
      <w:r w:rsidRPr="004249AC">
        <w:rPr>
          <w:rFonts w:ascii="Times New Roman" w:hAnsi="Times New Roman" w:cs="Times New Roman"/>
          <w:sz w:val="24"/>
          <w:szCs w:val="24"/>
          <w:lang w:val="en-US"/>
        </w:rPr>
        <w:t> (2</w:t>
      </w:r>
      <w:r w:rsidRPr="004249AC">
        <w:rPr>
          <w:rFonts w:ascii="Times New Roman" w:hAnsi="Times New Roman" w:cs="Times New Roman"/>
          <w:sz w:val="24"/>
          <w:szCs w:val="24"/>
          <w:vertAlign w:val="superscript"/>
          <w:lang w:val="en-US"/>
        </w:rPr>
        <w:t>nd</w:t>
      </w:r>
      <w:r w:rsidRPr="004249AC">
        <w:rPr>
          <w:rFonts w:ascii="Times New Roman" w:hAnsi="Times New Roman" w:cs="Times New Roman"/>
          <w:sz w:val="24"/>
          <w:szCs w:val="24"/>
          <w:lang w:val="en-US"/>
        </w:rPr>
        <w:t>). Cambridge University Press.</w:t>
      </w:r>
    </w:p>
    <w:p w14:paraId="7B747BFB" w14:textId="225BB8B9" w:rsidR="00B44926" w:rsidRPr="004249AC" w:rsidRDefault="00670ADF" w:rsidP="00FC62D9">
      <w:pPr>
        <w:spacing w:after="0"/>
        <w:jc w:val="both"/>
        <w:rPr>
          <w:rFonts w:ascii="Times New Roman" w:hAnsi="Times New Roman" w:cs="Times New Roman"/>
          <w:sz w:val="24"/>
          <w:szCs w:val="24"/>
          <w:lang w:val="fr-FR"/>
        </w:rPr>
      </w:pPr>
      <w:proofErr w:type="spellStart"/>
      <w:r w:rsidRPr="004249AC">
        <w:rPr>
          <w:rFonts w:ascii="Times New Roman" w:hAnsi="Times New Roman" w:cs="Times New Roman"/>
          <w:sz w:val="24"/>
          <w:szCs w:val="24"/>
          <w:lang w:val="en-US"/>
        </w:rPr>
        <w:t>Minkin</w:t>
      </w:r>
      <w:proofErr w:type="spellEnd"/>
      <w:r w:rsidRPr="004249AC">
        <w:rPr>
          <w:rFonts w:ascii="Times New Roman" w:hAnsi="Times New Roman" w:cs="Times New Roman"/>
          <w:sz w:val="24"/>
          <w:szCs w:val="24"/>
          <w:lang w:val="en-US"/>
        </w:rPr>
        <w:t>, S. (2020). </w:t>
      </w:r>
      <w:r w:rsidRPr="004249AC">
        <w:rPr>
          <w:rFonts w:ascii="Times New Roman" w:hAnsi="Times New Roman" w:cs="Times New Roman"/>
          <w:i/>
          <w:iCs/>
          <w:sz w:val="24"/>
          <w:szCs w:val="24"/>
          <w:lang w:val="en-US"/>
        </w:rPr>
        <w:t>Imperial bodies: Empire and death in Alexandria, Egypt.</w:t>
      </w:r>
      <w:r w:rsidRPr="004249AC">
        <w:rPr>
          <w:rFonts w:ascii="Times New Roman" w:hAnsi="Times New Roman" w:cs="Times New Roman"/>
          <w:sz w:val="24"/>
          <w:szCs w:val="24"/>
          <w:lang w:val="en-US"/>
        </w:rPr>
        <w:t xml:space="preserve"> </w:t>
      </w:r>
      <w:r w:rsidRPr="004249AC">
        <w:rPr>
          <w:rFonts w:ascii="Times New Roman" w:hAnsi="Times New Roman" w:cs="Times New Roman"/>
          <w:sz w:val="24"/>
          <w:szCs w:val="24"/>
          <w:lang w:val="fr-FR"/>
        </w:rPr>
        <w:t xml:space="preserve">Stanford Nunez, J. (2011). La gestion publique des espaces confessionnels des cimetières de la Ville de Paris : l’exemple du culte musulman (1857-1957). </w:t>
      </w:r>
      <w:r w:rsidRPr="004249AC">
        <w:rPr>
          <w:rFonts w:ascii="Times New Roman" w:hAnsi="Times New Roman" w:cs="Times New Roman"/>
          <w:i/>
          <w:iCs/>
          <w:sz w:val="24"/>
          <w:szCs w:val="24"/>
          <w:lang w:val="fr-FR"/>
        </w:rPr>
        <w:t>Mouvement social</w:t>
      </w:r>
      <w:r w:rsidRPr="004249AC">
        <w:rPr>
          <w:rFonts w:ascii="Times New Roman" w:hAnsi="Times New Roman" w:cs="Times New Roman"/>
          <w:sz w:val="24"/>
          <w:szCs w:val="24"/>
          <w:lang w:val="fr-FR"/>
        </w:rPr>
        <w:t xml:space="preserve">, </w:t>
      </w:r>
      <w:r w:rsidRPr="004249AC">
        <w:rPr>
          <w:rFonts w:ascii="Times New Roman" w:hAnsi="Times New Roman" w:cs="Times New Roman"/>
          <w:i/>
          <w:iCs/>
          <w:sz w:val="24"/>
          <w:szCs w:val="24"/>
          <w:lang w:val="fr-FR"/>
        </w:rPr>
        <w:t>237</w:t>
      </w:r>
      <w:r w:rsidRPr="004249AC">
        <w:rPr>
          <w:rFonts w:ascii="Times New Roman" w:hAnsi="Times New Roman" w:cs="Times New Roman"/>
          <w:sz w:val="24"/>
          <w:szCs w:val="24"/>
          <w:lang w:val="fr-FR"/>
        </w:rPr>
        <w:t xml:space="preserve">(4), 13–32. </w:t>
      </w:r>
      <w:hyperlink r:id="rId23" w:history="1">
        <w:r w:rsidRPr="004249AC">
          <w:rPr>
            <w:rStyle w:val="Lienhypertexte"/>
            <w:rFonts w:ascii="Times New Roman" w:hAnsi="Times New Roman" w:cs="Times New Roman"/>
            <w:color w:val="auto"/>
            <w:sz w:val="24"/>
            <w:szCs w:val="24"/>
            <w:lang w:val="fr-FR"/>
          </w:rPr>
          <w:t>https://doi.org/10.3917/lms.237.0013</w:t>
        </w:r>
      </w:hyperlink>
      <w:r w:rsidR="00B44926" w:rsidRPr="004249AC">
        <w:rPr>
          <w:rFonts w:ascii="Times New Roman" w:hAnsi="Times New Roman" w:cs="Times New Roman"/>
          <w:sz w:val="24"/>
          <w:szCs w:val="24"/>
          <w:lang w:val="fr-FR"/>
        </w:rPr>
        <w:t>Roudaut, K. (2012). </w:t>
      </w:r>
      <w:r w:rsidR="00B44926" w:rsidRPr="004249AC">
        <w:rPr>
          <w:rStyle w:val="Accentuation"/>
          <w:rFonts w:ascii="Times New Roman" w:hAnsi="Times New Roman" w:cs="Times New Roman"/>
          <w:sz w:val="24"/>
          <w:szCs w:val="24"/>
          <w:lang w:val="fr-FR"/>
        </w:rPr>
        <w:t>Ceux qui restent. Une sociologie du deuil</w:t>
      </w:r>
      <w:r w:rsidR="00B44926" w:rsidRPr="004249AC">
        <w:rPr>
          <w:rFonts w:ascii="Times New Roman" w:hAnsi="Times New Roman" w:cs="Times New Roman"/>
          <w:sz w:val="24"/>
          <w:szCs w:val="24"/>
          <w:lang w:val="fr-FR"/>
        </w:rPr>
        <w:t xml:space="preserve">. Presses universitaires de Rennes. </w:t>
      </w:r>
    </w:p>
    <w:p w14:paraId="04C45409" w14:textId="77777777" w:rsidR="00670ADF" w:rsidRPr="004249AC" w:rsidRDefault="00670ADF" w:rsidP="00FC62D9">
      <w:pPr>
        <w:spacing w:after="0" w:line="360" w:lineRule="auto"/>
        <w:jc w:val="both"/>
        <w:rPr>
          <w:rFonts w:ascii="Times New Roman" w:hAnsi="Times New Roman" w:cs="Times New Roman"/>
          <w:sz w:val="24"/>
          <w:szCs w:val="24"/>
          <w:lang w:val="fr-FR"/>
        </w:rPr>
      </w:pPr>
      <w:proofErr w:type="spellStart"/>
      <w:r w:rsidRPr="004249AC">
        <w:rPr>
          <w:rFonts w:ascii="Times New Roman" w:hAnsi="Times New Roman" w:cs="Times New Roman"/>
          <w:sz w:val="24"/>
          <w:szCs w:val="24"/>
          <w:shd w:val="clear" w:color="auto" w:fill="FFFFFF"/>
          <w:lang w:val="fr-FR"/>
        </w:rPr>
        <w:t>Rugg</w:t>
      </w:r>
      <w:proofErr w:type="spellEnd"/>
      <w:r w:rsidRPr="004249AC">
        <w:rPr>
          <w:rFonts w:ascii="Times New Roman" w:hAnsi="Times New Roman" w:cs="Times New Roman"/>
          <w:sz w:val="24"/>
          <w:szCs w:val="24"/>
          <w:shd w:val="clear" w:color="auto" w:fill="FFFFFF"/>
          <w:lang w:val="fr-FR"/>
        </w:rPr>
        <w:t xml:space="preserve">, J. (2015). </w:t>
      </w:r>
      <w:r w:rsidRPr="004249AC">
        <w:rPr>
          <w:rFonts w:ascii="Times New Roman" w:hAnsi="Times New Roman" w:cs="Times New Roman"/>
          <w:sz w:val="24"/>
          <w:szCs w:val="24"/>
          <w:shd w:val="clear" w:color="auto" w:fill="FFFFFF"/>
          <w:lang w:val="en-US"/>
        </w:rPr>
        <w:t xml:space="preserve">Churchyard and cemetery: Tradition and modernity in rural North Yorkshire. </w:t>
      </w:r>
      <w:r w:rsidRPr="004249AC">
        <w:rPr>
          <w:rFonts w:ascii="Times New Roman" w:hAnsi="Times New Roman" w:cs="Times New Roman"/>
          <w:sz w:val="24"/>
          <w:szCs w:val="24"/>
          <w:shd w:val="clear" w:color="auto" w:fill="FFFFFF"/>
          <w:lang w:val="fr-FR"/>
        </w:rPr>
        <w:t>In </w:t>
      </w:r>
      <w:proofErr w:type="spellStart"/>
      <w:r w:rsidRPr="004249AC">
        <w:rPr>
          <w:rFonts w:ascii="Times New Roman" w:hAnsi="Times New Roman" w:cs="Times New Roman"/>
          <w:i/>
          <w:iCs/>
          <w:sz w:val="24"/>
          <w:szCs w:val="24"/>
          <w:shd w:val="clear" w:color="auto" w:fill="FFFFFF"/>
          <w:lang w:val="fr-FR"/>
        </w:rPr>
        <w:t>Churchyard</w:t>
      </w:r>
      <w:proofErr w:type="spellEnd"/>
      <w:r w:rsidRPr="004249AC">
        <w:rPr>
          <w:rFonts w:ascii="Times New Roman" w:hAnsi="Times New Roman" w:cs="Times New Roman"/>
          <w:i/>
          <w:iCs/>
          <w:sz w:val="24"/>
          <w:szCs w:val="24"/>
          <w:shd w:val="clear" w:color="auto" w:fill="FFFFFF"/>
          <w:lang w:val="fr-FR"/>
        </w:rPr>
        <w:t xml:space="preserve"> and </w:t>
      </w:r>
      <w:proofErr w:type="spellStart"/>
      <w:r w:rsidRPr="004249AC">
        <w:rPr>
          <w:rFonts w:ascii="Times New Roman" w:hAnsi="Times New Roman" w:cs="Times New Roman"/>
          <w:i/>
          <w:iCs/>
          <w:sz w:val="24"/>
          <w:szCs w:val="24"/>
          <w:shd w:val="clear" w:color="auto" w:fill="FFFFFF"/>
          <w:lang w:val="fr-FR"/>
        </w:rPr>
        <w:t>cemetery</w:t>
      </w:r>
      <w:proofErr w:type="spellEnd"/>
      <w:r w:rsidRPr="004249AC">
        <w:rPr>
          <w:rFonts w:ascii="Times New Roman" w:hAnsi="Times New Roman" w:cs="Times New Roman"/>
          <w:sz w:val="24"/>
          <w:szCs w:val="24"/>
          <w:shd w:val="clear" w:color="auto" w:fill="FFFFFF"/>
          <w:lang w:val="fr-FR"/>
        </w:rPr>
        <w:t xml:space="preserve">. Manchester </w:t>
      </w:r>
      <w:proofErr w:type="spellStart"/>
      <w:r w:rsidRPr="004249AC">
        <w:rPr>
          <w:rFonts w:ascii="Times New Roman" w:hAnsi="Times New Roman" w:cs="Times New Roman"/>
          <w:sz w:val="24"/>
          <w:szCs w:val="24"/>
          <w:shd w:val="clear" w:color="auto" w:fill="FFFFFF"/>
          <w:lang w:val="fr-FR"/>
        </w:rPr>
        <w:t>University</w:t>
      </w:r>
      <w:proofErr w:type="spellEnd"/>
      <w:r w:rsidRPr="004249AC">
        <w:rPr>
          <w:rFonts w:ascii="Times New Roman" w:hAnsi="Times New Roman" w:cs="Times New Roman"/>
          <w:sz w:val="24"/>
          <w:szCs w:val="24"/>
          <w:shd w:val="clear" w:color="auto" w:fill="FFFFFF"/>
          <w:lang w:val="fr-FR"/>
        </w:rPr>
        <w:t xml:space="preserve"> </w:t>
      </w:r>
      <w:proofErr w:type="spellStart"/>
      <w:r w:rsidRPr="004249AC">
        <w:rPr>
          <w:rFonts w:ascii="Times New Roman" w:hAnsi="Times New Roman" w:cs="Times New Roman"/>
          <w:sz w:val="24"/>
          <w:szCs w:val="24"/>
          <w:shd w:val="clear" w:color="auto" w:fill="FFFFFF"/>
          <w:lang w:val="fr-FR"/>
        </w:rPr>
        <w:t>Press</w:t>
      </w:r>
      <w:proofErr w:type="spellEnd"/>
      <w:r w:rsidRPr="004249AC">
        <w:rPr>
          <w:rFonts w:ascii="Times New Roman" w:hAnsi="Times New Roman" w:cs="Times New Roman"/>
          <w:sz w:val="24"/>
          <w:szCs w:val="24"/>
          <w:shd w:val="clear" w:color="auto" w:fill="FFFFFF"/>
          <w:lang w:val="fr-FR"/>
        </w:rPr>
        <w:t>.</w:t>
      </w:r>
    </w:p>
    <w:p w14:paraId="7449939A" w14:textId="77777777" w:rsidR="00670ADF" w:rsidRPr="004249AC" w:rsidRDefault="00670ADF" w:rsidP="00FC62D9">
      <w:pPr>
        <w:spacing w:after="0" w:line="276" w:lineRule="auto"/>
        <w:jc w:val="both"/>
        <w:rPr>
          <w:rFonts w:ascii="Times New Roman" w:hAnsi="Times New Roman" w:cs="Times New Roman"/>
          <w:sz w:val="24"/>
          <w:szCs w:val="24"/>
          <w:lang w:val="fr-FR"/>
        </w:rPr>
      </w:pPr>
      <w:proofErr w:type="spellStart"/>
      <w:r w:rsidRPr="004249AC">
        <w:rPr>
          <w:rFonts w:ascii="Times New Roman" w:hAnsi="Times New Roman" w:cs="Times New Roman"/>
          <w:sz w:val="24"/>
          <w:szCs w:val="24"/>
          <w:lang w:val="fr-FR"/>
        </w:rPr>
        <w:t>Sayad</w:t>
      </w:r>
      <w:proofErr w:type="spellEnd"/>
      <w:r w:rsidRPr="004249AC">
        <w:rPr>
          <w:rFonts w:ascii="Times New Roman" w:hAnsi="Times New Roman" w:cs="Times New Roman"/>
          <w:sz w:val="24"/>
          <w:szCs w:val="24"/>
          <w:lang w:val="fr-FR"/>
        </w:rPr>
        <w:t xml:space="preserve">, A. (1999). </w:t>
      </w:r>
      <w:r w:rsidRPr="004249AC">
        <w:rPr>
          <w:rStyle w:val="Accentuation"/>
          <w:rFonts w:ascii="Times New Roman" w:hAnsi="Times New Roman" w:cs="Times New Roman"/>
          <w:sz w:val="24"/>
          <w:szCs w:val="24"/>
          <w:lang w:val="fr-FR"/>
        </w:rPr>
        <w:t>La double absence : Des illusions de l’émigré aux souffrances de l’immigré.</w:t>
      </w:r>
      <w:r w:rsidRPr="004249AC">
        <w:rPr>
          <w:rFonts w:ascii="Times New Roman" w:hAnsi="Times New Roman" w:cs="Times New Roman"/>
          <w:sz w:val="24"/>
          <w:szCs w:val="24"/>
          <w:lang w:val="fr-FR"/>
        </w:rPr>
        <w:t xml:space="preserve"> Seuil.</w:t>
      </w:r>
    </w:p>
    <w:p w14:paraId="047EF7F2" w14:textId="77777777" w:rsidR="00B44926" w:rsidRPr="004249AC" w:rsidRDefault="00B44926" w:rsidP="00FC62D9">
      <w:pPr>
        <w:spacing w:after="0" w:line="276" w:lineRule="auto"/>
        <w:jc w:val="both"/>
        <w:rPr>
          <w:rFonts w:ascii="Times New Roman" w:hAnsi="Times New Roman" w:cs="Times New Roman"/>
          <w:sz w:val="24"/>
          <w:szCs w:val="24"/>
          <w:lang w:val="fr-FR"/>
        </w:rPr>
      </w:pPr>
      <w:r w:rsidRPr="004249AC">
        <w:rPr>
          <w:rFonts w:ascii="Times New Roman" w:hAnsi="Times New Roman" w:cs="Times New Roman"/>
          <w:sz w:val="24"/>
          <w:szCs w:val="24"/>
          <w:lang w:val="fr-FR"/>
        </w:rPr>
        <w:t>Trompette, P., &amp; Griffiths, R. H. (2011). L'économie morale de la mort au XIXe siècle. Regards croisés sur la France et l'Angleterre. </w:t>
      </w:r>
      <w:r w:rsidRPr="004249AC">
        <w:rPr>
          <w:rFonts w:ascii="Times New Roman" w:hAnsi="Times New Roman" w:cs="Times New Roman"/>
          <w:i/>
          <w:iCs/>
          <w:sz w:val="24"/>
          <w:szCs w:val="24"/>
          <w:lang w:val="fr-FR"/>
        </w:rPr>
        <w:t>Le mouvement social</w:t>
      </w:r>
      <w:r w:rsidRPr="004249AC">
        <w:rPr>
          <w:rFonts w:ascii="Times New Roman" w:hAnsi="Times New Roman" w:cs="Times New Roman"/>
          <w:sz w:val="24"/>
          <w:szCs w:val="24"/>
          <w:lang w:val="fr-FR"/>
        </w:rPr>
        <w:t>, </w:t>
      </w:r>
      <w:r w:rsidRPr="004249AC">
        <w:rPr>
          <w:rFonts w:ascii="Times New Roman" w:hAnsi="Times New Roman" w:cs="Times New Roman"/>
          <w:i/>
          <w:iCs/>
          <w:sz w:val="24"/>
          <w:szCs w:val="24"/>
          <w:lang w:val="fr-FR"/>
        </w:rPr>
        <w:t>237</w:t>
      </w:r>
      <w:r w:rsidRPr="004249AC">
        <w:rPr>
          <w:rFonts w:ascii="Times New Roman" w:hAnsi="Times New Roman" w:cs="Times New Roman"/>
          <w:sz w:val="24"/>
          <w:szCs w:val="24"/>
          <w:lang w:val="fr-FR"/>
        </w:rPr>
        <w:t>(4), 33-54.</w:t>
      </w:r>
    </w:p>
    <w:p w14:paraId="60ABF2AF" w14:textId="61032DC7" w:rsidR="00FF389F" w:rsidRPr="004249AC" w:rsidRDefault="005F47D6" w:rsidP="00FC62D9">
      <w:pPr>
        <w:spacing w:after="0"/>
        <w:jc w:val="both"/>
        <w:rPr>
          <w:rFonts w:ascii="Times New Roman" w:hAnsi="Times New Roman" w:cs="Times New Roman"/>
          <w:sz w:val="24"/>
          <w:szCs w:val="24"/>
          <w:lang w:val="fr-FR"/>
        </w:rPr>
      </w:pPr>
      <w:r w:rsidRPr="004249AC">
        <w:rPr>
          <w:rFonts w:ascii="Times New Roman" w:hAnsi="Times New Roman" w:cs="Times New Roman"/>
          <w:sz w:val="24"/>
          <w:szCs w:val="24"/>
          <w:lang w:val="fr-FR"/>
        </w:rPr>
        <w:t xml:space="preserve">Trompette </w:t>
      </w:r>
      <w:r w:rsidR="00FF389F" w:rsidRPr="004249AC">
        <w:rPr>
          <w:rFonts w:ascii="Times New Roman" w:hAnsi="Times New Roman" w:cs="Times New Roman"/>
          <w:sz w:val="24"/>
          <w:szCs w:val="24"/>
          <w:lang w:val="fr-FR"/>
        </w:rPr>
        <w:t>P</w:t>
      </w:r>
      <w:r w:rsidR="00B44926" w:rsidRPr="004249AC">
        <w:rPr>
          <w:rFonts w:ascii="Times New Roman" w:hAnsi="Times New Roman" w:cs="Times New Roman"/>
          <w:sz w:val="24"/>
          <w:szCs w:val="24"/>
          <w:lang w:val="fr-FR"/>
        </w:rPr>
        <w:t>.</w:t>
      </w:r>
      <w:r w:rsidR="00FF389F" w:rsidRPr="004249AC">
        <w:rPr>
          <w:rFonts w:ascii="Times New Roman" w:hAnsi="Times New Roman" w:cs="Times New Roman"/>
          <w:sz w:val="24"/>
          <w:szCs w:val="24"/>
          <w:lang w:val="fr-FR"/>
        </w:rPr>
        <w:t xml:space="preserve"> &amp; </w:t>
      </w:r>
      <w:proofErr w:type="spellStart"/>
      <w:r w:rsidRPr="004249AC">
        <w:rPr>
          <w:rFonts w:ascii="Times New Roman" w:hAnsi="Times New Roman" w:cs="Times New Roman"/>
          <w:sz w:val="24"/>
          <w:szCs w:val="24"/>
          <w:lang w:val="fr-FR"/>
        </w:rPr>
        <w:t>Caroly</w:t>
      </w:r>
      <w:proofErr w:type="spellEnd"/>
      <w:r w:rsidRPr="004249AC">
        <w:rPr>
          <w:rFonts w:ascii="Times New Roman" w:hAnsi="Times New Roman" w:cs="Times New Roman"/>
          <w:sz w:val="24"/>
          <w:szCs w:val="24"/>
          <w:lang w:val="fr-FR"/>
        </w:rPr>
        <w:t xml:space="preserve"> </w:t>
      </w:r>
      <w:r w:rsidR="00FF389F" w:rsidRPr="004249AC">
        <w:rPr>
          <w:rFonts w:ascii="Times New Roman" w:hAnsi="Times New Roman" w:cs="Times New Roman"/>
          <w:sz w:val="24"/>
          <w:szCs w:val="24"/>
          <w:lang w:val="fr-FR"/>
        </w:rPr>
        <w:t>S</w:t>
      </w:r>
      <w:r w:rsidR="00B44926" w:rsidRPr="004249AC">
        <w:rPr>
          <w:rFonts w:ascii="Times New Roman" w:hAnsi="Times New Roman" w:cs="Times New Roman"/>
          <w:sz w:val="24"/>
          <w:szCs w:val="24"/>
          <w:lang w:val="fr-FR"/>
        </w:rPr>
        <w:t>.</w:t>
      </w:r>
      <w:r w:rsidR="00FF389F" w:rsidRPr="004249AC">
        <w:rPr>
          <w:rFonts w:ascii="Times New Roman" w:hAnsi="Times New Roman" w:cs="Times New Roman"/>
          <w:sz w:val="24"/>
          <w:szCs w:val="24"/>
          <w:lang w:val="fr-FR"/>
        </w:rPr>
        <w:t xml:space="preserve"> </w:t>
      </w:r>
      <w:r w:rsidR="00B44926" w:rsidRPr="004249AC">
        <w:rPr>
          <w:rFonts w:ascii="Times New Roman" w:hAnsi="Times New Roman" w:cs="Times New Roman"/>
          <w:sz w:val="24"/>
          <w:szCs w:val="24"/>
          <w:lang w:val="fr-FR"/>
        </w:rPr>
        <w:t>(</w:t>
      </w:r>
      <w:r w:rsidR="00FF389F" w:rsidRPr="004249AC">
        <w:rPr>
          <w:rFonts w:ascii="Times New Roman" w:hAnsi="Times New Roman" w:cs="Times New Roman"/>
          <w:sz w:val="24"/>
          <w:szCs w:val="24"/>
          <w:lang w:val="fr-FR"/>
        </w:rPr>
        <w:t>2004</w:t>
      </w:r>
      <w:r w:rsidR="00B44926" w:rsidRPr="004249AC">
        <w:rPr>
          <w:rFonts w:ascii="Times New Roman" w:hAnsi="Times New Roman" w:cs="Times New Roman"/>
          <w:sz w:val="24"/>
          <w:szCs w:val="24"/>
          <w:lang w:val="fr-FR"/>
        </w:rPr>
        <w:t>)</w:t>
      </w:r>
      <w:r w:rsidR="00FF389F" w:rsidRPr="004249AC">
        <w:rPr>
          <w:rFonts w:ascii="Times New Roman" w:hAnsi="Times New Roman" w:cs="Times New Roman"/>
          <w:sz w:val="24"/>
          <w:szCs w:val="24"/>
          <w:lang w:val="fr-FR"/>
        </w:rPr>
        <w:t>. « En aparté avec les morts… Peurs, larmes et rires au travail : les métiers du funéraire », Terrain, n°43, pp.63-84.</w:t>
      </w:r>
    </w:p>
    <w:p w14:paraId="30773704" w14:textId="77777777" w:rsidR="00B44926" w:rsidRPr="004249AC" w:rsidRDefault="00B44926" w:rsidP="00FC62D9">
      <w:pPr>
        <w:spacing w:after="0" w:line="276" w:lineRule="auto"/>
        <w:jc w:val="both"/>
        <w:rPr>
          <w:rFonts w:ascii="Times New Roman" w:hAnsi="Times New Roman" w:cs="Times New Roman"/>
          <w:sz w:val="24"/>
          <w:szCs w:val="24"/>
        </w:rPr>
      </w:pPr>
      <w:proofErr w:type="spellStart"/>
      <w:r w:rsidRPr="004249AC">
        <w:rPr>
          <w:rFonts w:ascii="Times New Roman" w:hAnsi="Times New Roman" w:cs="Times New Roman"/>
          <w:sz w:val="24"/>
          <w:szCs w:val="24"/>
          <w:lang w:val="en-US"/>
        </w:rPr>
        <w:t>Verdery</w:t>
      </w:r>
      <w:proofErr w:type="spellEnd"/>
      <w:r w:rsidRPr="004249AC">
        <w:rPr>
          <w:rFonts w:ascii="Times New Roman" w:hAnsi="Times New Roman" w:cs="Times New Roman"/>
          <w:sz w:val="24"/>
          <w:szCs w:val="24"/>
          <w:lang w:val="en-US"/>
        </w:rPr>
        <w:t>, K. (1999). </w:t>
      </w:r>
      <w:r w:rsidRPr="004249AC">
        <w:rPr>
          <w:rFonts w:ascii="Times New Roman" w:hAnsi="Times New Roman" w:cs="Times New Roman"/>
          <w:i/>
          <w:iCs/>
          <w:sz w:val="24"/>
          <w:szCs w:val="24"/>
          <w:lang w:val="en-US"/>
        </w:rPr>
        <w:t xml:space="preserve">The political lives of dead bodies: Reburial and </w:t>
      </w:r>
      <w:proofErr w:type="spellStart"/>
      <w:r w:rsidRPr="004249AC">
        <w:rPr>
          <w:rFonts w:ascii="Times New Roman" w:hAnsi="Times New Roman" w:cs="Times New Roman"/>
          <w:i/>
          <w:iCs/>
          <w:sz w:val="24"/>
          <w:szCs w:val="24"/>
          <w:lang w:val="en-US"/>
        </w:rPr>
        <w:t>postsocialist</w:t>
      </w:r>
      <w:proofErr w:type="spellEnd"/>
      <w:r w:rsidRPr="004249AC">
        <w:rPr>
          <w:rFonts w:ascii="Times New Roman" w:hAnsi="Times New Roman" w:cs="Times New Roman"/>
          <w:i/>
          <w:iCs/>
          <w:sz w:val="24"/>
          <w:szCs w:val="24"/>
          <w:lang w:val="en-US"/>
        </w:rPr>
        <w:t xml:space="preserve"> change</w:t>
      </w:r>
      <w:r w:rsidRPr="004249AC">
        <w:rPr>
          <w:rFonts w:ascii="Times New Roman" w:hAnsi="Times New Roman" w:cs="Times New Roman"/>
          <w:sz w:val="24"/>
          <w:szCs w:val="24"/>
          <w:lang w:val="en-US"/>
        </w:rPr>
        <w:t xml:space="preserve">. </w:t>
      </w:r>
      <w:r w:rsidRPr="004249AC">
        <w:rPr>
          <w:rFonts w:ascii="Times New Roman" w:hAnsi="Times New Roman" w:cs="Times New Roman"/>
          <w:sz w:val="24"/>
          <w:szCs w:val="24"/>
        </w:rPr>
        <w:t>Columbia University Press.</w:t>
      </w:r>
    </w:p>
    <w:p w14:paraId="5B250154" w14:textId="77777777" w:rsidR="00B44926" w:rsidRPr="004249AC" w:rsidRDefault="00B44926" w:rsidP="00FC62D9">
      <w:pPr>
        <w:spacing w:after="0" w:line="276" w:lineRule="auto"/>
        <w:jc w:val="both"/>
        <w:rPr>
          <w:rFonts w:ascii="Times New Roman" w:hAnsi="Times New Roman" w:cs="Times New Roman"/>
          <w:sz w:val="24"/>
          <w:szCs w:val="24"/>
        </w:rPr>
      </w:pPr>
      <w:r w:rsidRPr="004249AC">
        <w:rPr>
          <w:rFonts w:ascii="Times New Roman" w:hAnsi="Times New Roman" w:cs="Times New Roman"/>
          <w:sz w:val="24"/>
          <w:szCs w:val="24"/>
          <w:lang w:val="en-US"/>
        </w:rPr>
        <w:t>Walter, T., Littlewood, J., &amp; Pickering, M. (1995). Death in the news: The public invigilation of private emotion. </w:t>
      </w:r>
      <w:r w:rsidRPr="004249AC">
        <w:rPr>
          <w:rFonts w:ascii="Times New Roman" w:hAnsi="Times New Roman" w:cs="Times New Roman"/>
          <w:i/>
          <w:iCs/>
          <w:sz w:val="24"/>
          <w:szCs w:val="24"/>
        </w:rPr>
        <w:t>Sociology</w:t>
      </w:r>
      <w:r w:rsidRPr="004249AC">
        <w:rPr>
          <w:rFonts w:ascii="Times New Roman" w:hAnsi="Times New Roman" w:cs="Times New Roman"/>
          <w:sz w:val="24"/>
          <w:szCs w:val="24"/>
        </w:rPr>
        <w:t>, </w:t>
      </w:r>
      <w:r w:rsidRPr="004249AC">
        <w:rPr>
          <w:rFonts w:ascii="Times New Roman" w:hAnsi="Times New Roman" w:cs="Times New Roman"/>
          <w:i/>
          <w:iCs/>
          <w:sz w:val="24"/>
          <w:szCs w:val="24"/>
        </w:rPr>
        <w:t>29</w:t>
      </w:r>
      <w:r w:rsidRPr="004249AC">
        <w:rPr>
          <w:rFonts w:ascii="Times New Roman" w:hAnsi="Times New Roman" w:cs="Times New Roman"/>
          <w:sz w:val="24"/>
          <w:szCs w:val="24"/>
        </w:rPr>
        <w:t xml:space="preserve">(4), 579-596. </w:t>
      </w:r>
      <w:hyperlink r:id="rId24" w:tgtFrame="_blank" w:history="1">
        <w:r w:rsidRPr="004249AC">
          <w:rPr>
            <w:rStyle w:val="Lienhypertexte"/>
            <w:rFonts w:ascii="Times New Roman" w:hAnsi="Times New Roman" w:cs="Times New Roman"/>
            <w:color w:val="auto"/>
            <w:sz w:val="24"/>
            <w:szCs w:val="24"/>
          </w:rPr>
          <w:t>https://doi.org/10.1177/0038038595029004002</w:t>
        </w:r>
      </w:hyperlink>
    </w:p>
    <w:p w14:paraId="6BCCA1BF" w14:textId="2A67CDDC" w:rsidR="00322EBE" w:rsidRPr="004249AC" w:rsidRDefault="00322EBE" w:rsidP="00FC62D9">
      <w:pPr>
        <w:spacing w:after="0"/>
        <w:jc w:val="both"/>
        <w:rPr>
          <w:rFonts w:ascii="Times New Roman" w:hAnsi="Times New Roman" w:cs="Times New Roman"/>
          <w:sz w:val="24"/>
          <w:szCs w:val="24"/>
          <w:lang w:val="en-US"/>
        </w:rPr>
      </w:pPr>
      <w:r w:rsidRPr="004249AC">
        <w:rPr>
          <w:rFonts w:ascii="Times New Roman" w:hAnsi="Times New Roman" w:cs="Times New Roman"/>
          <w:sz w:val="24"/>
          <w:szCs w:val="24"/>
          <w:lang w:val="en-US"/>
        </w:rPr>
        <w:t>Walter, T. (1994).  </w:t>
      </w:r>
      <w:r w:rsidRPr="004249AC">
        <w:rPr>
          <w:rFonts w:ascii="Times New Roman" w:hAnsi="Times New Roman" w:cs="Times New Roman"/>
          <w:i/>
          <w:iCs/>
          <w:sz w:val="24"/>
          <w:szCs w:val="24"/>
          <w:lang w:val="en-US"/>
        </w:rPr>
        <w:t>The revival of death</w:t>
      </w:r>
      <w:r w:rsidRPr="004249AC">
        <w:rPr>
          <w:rFonts w:ascii="Times New Roman" w:hAnsi="Times New Roman" w:cs="Times New Roman"/>
          <w:sz w:val="24"/>
          <w:szCs w:val="24"/>
          <w:lang w:val="en-US"/>
        </w:rPr>
        <w:t> (1</w:t>
      </w:r>
      <w:r w:rsidRPr="004249AC">
        <w:rPr>
          <w:rFonts w:ascii="Times New Roman" w:hAnsi="Times New Roman" w:cs="Times New Roman"/>
          <w:sz w:val="24"/>
          <w:szCs w:val="24"/>
          <w:vertAlign w:val="superscript"/>
          <w:lang w:val="en-US"/>
        </w:rPr>
        <w:t>st</w:t>
      </w:r>
      <w:r w:rsidRPr="004249AC">
        <w:rPr>
          <w:rFonts w:ascii="Times New Roman" w:hAnsi="Times New Roman" w:cs="Times New Roman"/>
          <w:sz w:val="24"/>
          <w:szCs w:val="24"/>
          <w:lang w:val="en-US"/>
        </w:rPr>
        <w:t xml:space="preserve"> ed.). Routledge. </w:t>
      </w:r>
    </w:p>
    <w:p w14:paraId="2580711D" w14:textId="77777777" w:rsidR="00B44926" w:rsidRPr="004249AC" w:rsidRDefault="00B44926" w:rsidP="00FC62D9">
      <w:pPr>
        <w:spacing w:after="0" w:line="240" w:lineRule="auto"/>
        <w:jc w:val="both"/>
        <w:rPr>
          <w:rFonts w:ascii="Times New Roman" w:eastAsia="Times New Roman" w:hAnsi="Times New Roman" w:cs="Times New Roman"/>
          <w:sz w:val="24"/>
          <w:szCs w:val="24"/>
          <w:lang w:val="fr-FR" w:eastAsia="fr-FR"/>
        </w:rPr>
      </w:pPr>
      <w:proofErr w:type="spellStart"/>
      <w:r w:rsidRPr="004249AC">
        <w:rPr>
          <w:rFonts w:ascii="Times New Roman" w:eastAsia="Times New Roman" w:hAnsi="Times New Roman" w:cs="Times New Roman"/>
          <w:sz w:val="24"/>
          <w:szCs w:val="24"/>
          <w:lang w:eastAsia="fr-FR"/>
        </w:rPr>
        <w:t>Wihtol</w:t>
      </w:r>
      <w:proofErr w:type="spellEnd"/>
      <w:r w:rsidRPr="004249AC">
        <w:rPr>
          <w:rFonts w:ascii="Times New Roman" w:eastAsia="Times New Roman" w:hAnsi="Times New Roman" w:cs="Times New Roman"/>
          <w:sz w:val="24"/>
          <w:szCs w:val="24"/>
          <w:lang w:eastAsia="fr-FR"/>
        </w:rPr>
        <w:t xml:space="preserve"> de Wenden, C., &amp; </w:t>
      </w:r>
      <w:proofErr w:type="spellStart"/>
      <w:r w:rsidRPr="004249AC">
        <w:rPr>
          <w:rFonts w:ascii="Times New Roman" w:eastAsia="Times New Roman" w:hAnsi="Times New Roman" w:cs="Times New Roman"/>
          <w:sz w:val="24"/>
          <w:szCs w:val="24"/>
          <w:lang w:eastAsia="fr-FR"/>
        </w:rPr>
        <w:t>Dorange</w:t>
      </w:r>
      <w:proofErr w:type="spellEnd"/>
      <w:r w:rsidRPr="004249AC">
        <w:rPr>
          <w:rFonts w:ascii="Times New Roman" w:eastAsia="Times New Roman" w:hAnsi="Times New Roman" w:cs="Times New Roman"/>
          <w:sz w:val="24"/>
          <w:szCs w:val="24"/>
          <w:lang w:eastAsia="fr-FR"/>
        </w:rPr>
        <w:t xml:space="preserve">, M. (2011). </w:t>
      </w:r>
      <w:r w:rsidRPr="004249AC">
        <w:rPr>
          <w:rFonts w:ascii="Times New Roman" w:eastAsia="Times New Roman" w:hAnsi="Times New Roman" w:cs="Times New Roman"/>
          <w:sz w:val="24"/>
          <w:szCs w:val="24"/>
          <w:lang w:val="fr-FR" w:eastAsia="fr-FR"/>
        </w:rPr>
        <w:t xml:space="preserve">Vieillissement et migrations. </w:t>
      </w:r>
      <w:r w:rsidRPr="004249AC">
        <w:rPr>
          <w:rFonts w:ascii="Times New Roman" w:eastAsia="Times New Roman" w:hAnsi="Times New Roman" w:cs="Times New Roman"/>
          <w:i/>
          <w:iCs/>
          <w:sz w:val="24"/>
          <w:szCs w:val="24"/>
          <w:lang w:val="fr-FR" w:eastAsia="fr-FR"/>
        </w:rPr>
        <w:t>Gérontologie et société</w:t>
      </w:r>
      <w:r w:rsidRPr="004249AC">
        <w:rPr>
          <w:rFonts w:ascii="Times New Roman" w:eastAsia="Times New Roman" w:hAnsi="Times New Roman" w:cs="Times New Roman"/>
          <w:sz w:val="24"/>
          <w:szCs w:val="24"/>
          <w:lang w:val="fr-FR" w:eastAsia="fr-FR"/>
        </w:rPr>
        <w:t xml:space="preserve">, </w:t>
      </w:r>
      <w:r w:rsidRPr="004249AC">
        <w:rPr>
          <w:rFonts w:ascii="Times New Roman" w:eastAsia="Times New Roman" w:hAnsi="Times New Roman" w:cs="Times New Roman"/>
          <w:i/>
          <w:iCs/>
          <w:sz w:val="24"/>
          <w:szCs w:val="24"/>
          <w:lang w:val="fr-FR" w:eastAsia="fr-FR"/>
        </w:rPr>
        <w:t>139</w:t>
      </w:r>
      <w:r w:rsidRPr="004249AC">
        <w:rPr>
          <w:rFonts w:ascii="Times New Roman" w:eastAsia="Times New Roman" w:hAnsi="Times New Roman" w:cs="Times New Roman"/>
          <w:sz w:val="24"/>
          <w:szCs w:val="24"/>
          <w:lang w:val="fr-FR" w:eastAsia="fr-FR"/>
        </w:rPr>
        <w:t>(4), 13-28. https://doi.org/10.3917/gs.139.0013</w:t>
      </w:r>
    </w:p>
    <w:p w14:paraId="4B8027FF" w14:textId="77777777" w:rsidR="00B44926" w:rsidRPr="004249AC" w:rsidRDefault="00B44926" w:rsidP="00FC62D9">
      <w:pPr>
        <w:spacing w:after="0" w:line="240" w:lineRule="auto"/>
        <w:jc w:val="both"/>
        <w:rPr>
          <w:rFonts w:ascii="Times New Roman" w:eastAsia="Times New Roman" w:hAnsi="Times New Roman" w:cs="Times New Roman"/>
          <w:sz w:val="24"/>
          <w:szCs w:val="24"/>
          <w:lang w:val="fr-FR" w:eastAsia="fr-FR"/>
        </w:rPr>
      </w:pPr>
      <w:proofErr w:type="spellStart"/>
      <w:r w:rsidRPr="004249AC">
        <w:rPr>
          <w:rFonts w:ascii="Times New Roman" w:eastAsia="Times New Roman" w:hAnsi="Times New Roman" w:cs="Times New Roman"/>
          <w:sz w:val="24"/>
          <w:szCs w:val="24"/>
          <w:lang w:val="fr-FR" w:eastAsia="fr-FR"/>
        </w:rPr>
        <w:t>Wihtol</w:t>
      </w:r>
      <w:proofErr w:type="spellEnd"/>
      <w:r w:rsidRPr="004249AC">
        <w:rPr>
          <w:rFonts w:ascii="Times New Roman" w:eastAsia="Times New Roman" w:hAnsi="Times New Roman" w:cs="Times New Roman"/>
          <w:sz w:val="24"/>
          <w:szCs w:val="24"/>
          <w:lang w:val="fr-FR" w:eastAsia="fr-FR"/>
        </w:rPr>
        <w:t xml:space="preserve"> de </w:t>
      </w:r>
      <w:proofErr w:type="spellStart"/>
      <w:r w:rsidRPr="004249AC">
        <w:rPr>
          <w:rFonts w:ascii="Times New Roman" w:eastAsia="Times New Roman" w:hAnsi="Times New Roman" w:cs="Times New Roman"/>
          <w:sz w:val="24"/>
          <w:szCs w:val="24"/>
          <w:lang w:val="fr-FR" w:eastAsia="fr-FR"/>
        </w:rPr>
        <w:t>Wenden</w:t>
      </w:r>
      <w:proofErr w:type="spellEnd"/>
      <w:r w:rsidRPr="004249AC">
        <w:rPr>
          <w:rFonts w:ascii="Times New Roman" w:eastAsia="Times New Roman" w:hAnsi="Times New Roman" w:cs="Times New Roman"/>
          <w:sz w:val="24"/>
          <w:szCs w:val="24"/>
          <w:lang w:val="fr-FR" w:eastAsia="fr-FR"/>
        </w:rPr>
        <w:t xml:space="preserve">, C. (1991). La politique migratoire française et les immigrés âgés. </w:t>
      </w:r>
      <w:r w:rsidRPr="004249AC">
        <w:rPr>
          <w:rFonts w:ascii="Times New Roman" w:eastAsia="Times New Roman" w:hAnsi="Times New Roman" w:cs="Times New Roman"/>
          <w:i/>
          <w:iCs/>
          <w:sz w:val="24"/>
          <w:szCs w:val="24"/>
          <w:lang w:val="fr-FR" w:eastAsia="fr-FR"/>
        </w:rPr>
        <w:t>Hommes et migrations</w:t>
      </w:r>
      <w:r w:rsidRPr="004249AC">
        <w:rPr>
          <w:rFonts w:ascii="Times New Roman" w:eastAsia="Times New Roman" w:hAnsi="Times New Roman" w:cs="Times New Roman"/>
          <w:sz w:val="24"/>
          <w:szCs w:val="24"/>
          <w:lang w:val="fr-FR" w:eastAsia="fr-FR"/>
        </w:rPr>
        <w:t xml:space="preserve">, </w:t>
      </w:r>
      <w:r w:rsidRPr="004249AC">
        <w:rPr>
          <w:rFonts w:ascii="Times New Roman" w:eastAsia="Times New Roman" w:hAnsi="Times New Roman" w:cs="Times New Roman"/>
          <w:i/>
          <w:iCs/>
          <w:sz w:val="24"/>
          <w:szCs w:val="24"/>
          <w:lang w:val="fr-FR" w:eastAsia="fr-FR"/>
        </w:rPr>
        <w:t>1140</w:t>
      </w:r>
      <w:r w:rsidRPr="004249AC">
        <w:rPr>
          <w:rFonts w:ascii="Times New Roman" w:eastAsia="Times New Roman" w:hAnsi="Times New Roman" w:cs="Times New Roman"/>
          <w:sz w:val="24"/>
          <w:szCs w:val="24"/>
          <w:lang w:val="fr-FR" w:eastAsia="fr-FR"/>
        </w:rPr>
        <w:t xml:space="preserve">, 6-8. </w:t>
      </w:r>
    </w:p>
    <w:p w14:paraId="7B1EB54B" w14:textId="77777777" w:rsidR="00FC62D9" w:rsidRDefault="00FC62D9" w:rsidP="001842DE">
      <w:pPr>
        <w:shd w:val="clear" w:color="auto" w:fill="FFFFFF"/>
        <w:spacing w:after="0" w:line="240" w:lineRule="auto"/>
        <w:outlineLvl w:val="0"/>
        <w:rPr>
          <w:rFonts w:ascii="Times New Roman" w:hAnsi="Times New Roman" w:cs="Times New Roman"/>
          <w:b/>
          <w:bCs/>
          <w:color w:val="040404"/>
          <w:kern w:val="36"/>
          <w:sz w:val="24"/>
          <w:szCs w:val="24"/>
          <w:lang w:val="fr-FR"/>
        </w:rPr>
      </w:pPr>
    </w:p>
    <w:p w14:paraId="1705653B" w14:textId="2141F9F3" w:rsidR="001842DE" w:rsidRPr="004249AC" w:rsidRDefault="001842DE" w:rsidP="001842DE">
      <w:pPr>
        <w:shd w:val="clear" w:color="auto" w:fill="FFFFFF"/>
        <w:spacing w:after="0" w:line="240" w:lineRule="auto"/>
        <w:outlineLvl w:val="0"/>
        <w:rPr>
          <w:rFonts w:ascii="Times New Roman" w:hAnsi="Times New Roman" w:cs="Times New Roman"/>
          <w:b/>
          <w:bCs/>
          <w:color w:val="040404"/>
          <w:kern w:val="36"/>
          <w:sz w:val="24"/>
          <w:szCs w:val="24"/>
          <w:lang w:val="fr-FR"/>
        </w:rPr>
      </w:pPr>
      <w:r w:rsidRPr="004249AC">
        <w:rPr>
          <w:rFonts w:ascii="Times New Roman" w:hAnsi="Times New Roman" w:cs="Times New Roman"/>
          <w:b/>
          <w:bCs/>
          <w:color w:val="040404"/>
          <w:kern w:val="36"/>
          <w:sz w:val="24"/>
          <w:szCs w:val="24"/>
          <w:lang w:val="fr-FR"/>
        </w:rPr>
        <w:t>Modalités de contribution.</w:t>
      </w:r>
    </w:p>
    <w:p w14:paraId="45094400" w14:textId="36EA1377" w:rsidR="001842DE" w:rsidRPr="004249AC" w:rsidRDefault="001842DE" w:rsidP="001842DE">
      <w:pPr>
        <w:pStyle w:val="NormalWeb"/>
        <w:spacing w:before="240" w:after="0"/>
        <w:jc w:val="both"/>
      </w:pPr>
      <w:r w:rsidRPr="004249AC">
        <w:t xml:space="preserve">Les propositions doivent nous parvenir au plus tard le </w:t>
      </w:r>
      <w:r w:rsidR="0085242E" w:rsidRPr="0085242E">
        <w:t xml:space="preserve">30 </w:t>
      </w:r>
      <w:r w:rsidR="0085242E">
        <w:t>novembre 2026</w:t>
      </w:r>
      <w:r w:rsidRPr="0085242E">
        <w:t xml:space="preserve"> </w:t>
      </w:r>
      <w:r w:rsidRPr="004249AC">
        <w:t xml:space="preserve">la forme d’un titre et d’un résumé (500 mots maximum). Ils sont à envoyer aux adresses suivantes :  </w:t>
      </w:r>
      <w:hyperlink r:id="rId25" w:history="1">
        <w:r w:rsidR="00352EDF" w:rsidRPr="00461950">
          <w:rPr>
            <w:rStyle w:val="Lienhypertexte"/>
          </w:rPr>
          <w:t>nada.afiouni@gmail.com</w:t>
        </w:r>
      </w:hyperlink>
      <w:r w:rsidRPr="004249AC">
        <w:t xml:space="preserve"> et thierry.suchere@univ-lehavre.fr. Ils feront l’objet d’un avis rendu par le comité de rédaction de la revue communiqué au plus tard </w:t>
      </w:r>
      <w:r w:rsidR="0085242E">
        <w:t>le 20</w:t>
      </w:r>
      <w:r w:rsidR="0085242E" w:rsidRPr="0085242E">
        <w:t xml:space="preserve"> décembre</w:t>
      </w:r>
      <w:r w:rsidR="0085242E">
        <w:t xml:space="preserve"> 2026</w:t>
      </w:r>
      <w:r w:rsidRPr="0085242E">
        <w:t>.</w:t>
      </w:r>
    </w:p>
    <w:p w14:paraId="0F829D5A" w14:textId="350C2672" w:rsidR="001842DE" w:rsidRPr="004249AC" w:rsidRDefault="001842DE" w:rsidP="001842DE">
      <w:pPr>
        <w:pStyle w:val="NormalWeb"/>
        <w:spacing w:before="0" w:after="0"/>
        <w:jc w:val="both"/>
      </w:pPr>
      <w:r w:rsidRPr="004249AC">
        <w:t xml:space="preserve">Les textes sélectionnés (8000 mots maximum) devront être rendus le </w:t>
      </w:r>
      <w:r w:rsidR="0085242E">
        <w:t xml:space="preserve">15 mai 2027 </w:t>
      </w:r>
      <w:r w:rsidRPr="004249AC">
        <w:t xml:space="preserve">au plus tard. </w:t>
      </w:r>
    </w:p>
    <w:p w14:paraId="20DB4802" w14:textId="77777777" w:rsidR="001842DE" w:rsidRPr="004249AC" w:rsidRDefault="001842DE" w:rsidP="001842DE">
      <w:pPr>
        <w:pStyle w:val="NormalWeb"/>
        <w:spacing w:before="0" w:after="0"/>
        <w:jc w:val="both"/>
      </w:pPr>
      <w:r w:rsidRPr="004249AC">
        <w:rPr>
          <w:i/>
        </w:rPr>
        <w:t>Les Cahiers de Sociologie Economique et Culturelle</w:t>
      </w:r>
      <w:r w:rsidRPr="004249AC">
        <w:t xml:space="preserve"> publieront tout ou partie des contributions en suivant une procédure d’évaluation en double aveugle.</w:t>
      </w:r>
    </w:p>
    <w:p w14:paraId="1766450D" w14:textId="77777777" w:rsidR="001842DE" w:rsidRPr="004249AC" w:rsidRDefault="001842DE" w:rsidP="001842DE">
      <w:pPr>
        <w:pStyle w:val="NormalWeb"/>
        <w:spacing w:before="0" w:after="0"/>
        <w:jc w:val="both"/>
      </w:pPr>
      <w:r w:rsidRPr="004249AC">
        <w:t xml:space="preserve">Les contributeurs sont incités à aller lire des conseils que nous prodiguons aux auteurs sur le site de la revue </w:t>
      </w:r>
      <w:hyperlink r:id="rId26" w:history="1">
        <w:r w:rsidRPr="004249AC">
          <w:rPr>
            <w:rStyle w:val="Lienhypertexte"/>
          </w:rPr>
          <w:t>https://sociologieeconomique.org/consignes-aux-auteurs/</w:t>
        </w:r>
      </w:hyperlink>
    </w:p>
    <w:p w14:paraId="4973D2C6" w14:textId="77777777" w:rsidR="001842DE" w:rsidRPr="004249AC" w:rsidRDefault="001842DE" w:rsidP="001842DE">
      <w:pPr>
        <w:pStyle w:val="Titre1"/>
        <w:shd w:val="clear" w:color="auto" w:fill="FFFFFF"/>
        <w:spacing w:before="327" w:after="45" w:line="240" w:lineRule="auto"/>
        <w:jc w:val="both"/>
        <w:rPr>
          <w:rFonts w:ascii="Times New Roman" w:hAnsi="Times New Roman" w:cs="Times New Roman"/>
          <w:b/>
          <w:color w:val="040404"/>
          <w:sz w:val="24"/>
          <w:szCs w:val="24"/>
        </w:rPr>
      </w:pPr>
      <w:r w:rsidRPr="004249AC">
        <w:rPr>
          <w:rFonts w:ascii="Times New Roman" w:hAnsi="Times New Roman" w:cs="Times New Roman"/>
          <w:b/>
          <w:color w:val="040404"/>
          <w:sz w:val="24"/>
          <w:szCs w:val="24"/>
        </w:rPr>
        <w:t>Dates à retenir.</w:t>
      </w:r>
    </w:p>
    <w:p w14:paraId="7B69C19B" w14:textId="2383E5DA" w:rsidR="001842DE" w:rsidRPr="004249AC" w:rsidRDefault="0085242E" w:rsidP="001842DE">
      <w:pPr>
        <w:pStyle w:val="Titre3"/>
        <w:shd w:val="clear" w:color="auto" w:fill="FFFFFF"/>
        <w:spacing w:before="171" w:after="171" w:line="240" w:lineRule="auto"/>
        <w:jc w:val="both"/>
        <w:rPr>
          <w:rFonts w:ascii="Times New Roman" w:hAnsi="Times New Roman" w:cs="Times New Roman"/>
          <w:color w:val="373737"/>
        </w:rPr>
      </w:pPr>
      <w:r>
        <w:rPr>
          <w:rFonts w:ascii="Times New Roman" w:hAnsi="Times New Roman" w:cs="Times New Roman"/>
          <w:color w:val="373737"/>
        </w:rPr>
        <w:t>Date limite</w:t>
      </w:r>
      <w:r w:rsidR="001842DE" w:rsidRPr="004249AC">
        <w:rPr>
          <w:rFonts w:ascii="Times New Roman" w:hAnsi="Times New Roman" w:cs="Times New Roman"/>
          <w:color w:val="373737"/>
        </w:rPr>
        <w:t xml:space="preserve"> </w:t>
      </w:r>
      <w:r>
        <w:rPr>
          <w:rFonts w:ascii="Times New Roman" w:hAnsi="Times New Roman" w:cs="Times New Roman"/>
          <w:color w:val="373737"/>
        </w:rPr>
        <w:t>pour</w:t>
      </w:r>
      <w:r w:rsidR="001842DE" w:rsidRPr="004249AC">
        <w:rPr>
          <w:rFonts w:ascii="Times New Roman" w:hAnsi="Times New Roman" w:cs="Times New Roman"/>
          <w:color w:val="373737"/>
        </w:rPr>
        <w:t xml:space="preserve"> l’envoi d’un résumé</w:t>
      </w:r>
      <w:r>
        <w:rPr>
          <w:rFonts w:ascii="Times New Roman" w:hAnsi="Times New Roman" w:cs="Times New Roman"/>
          <w:color w:val="373737"/>
        </w:rPr>
        <w:t xml:space="preserve"> le 30 novembre 2026</w:t>
      </w:r>
    </w:p>
    <w:p w14:paraId="233542AF" w14:textId="0C68C209" w:rsidR="001842DE" w:rsidRPr="004249AC" w:rsidRDefault="0085242E" w:rsidP="001842DE">
      <w:pPr>
        <w:pStyle w:val="compact"/>
        <w:shd w:val="clear" w:color="auto" w:fill="FFFFFF"/>
        <w:spacing w:before="160" w:beforeAutospacing="0" w:after="160" w:afterAutospacing="0"/>
        <w:jc w:val="both"/>
        <w:rPr>
          <w:color w:val="373737"/>
        </w:rPr>
      </w:pPr>
      <w:r>
        <w:rPr>
          <w:color w:val="373737"/>
        </w:rPr>
        <w:t>Date limite de c</w:t>
      </w:r>
      <w:r w:rsidR="001842DE" w:rsidRPr="004249AC">
        <w:rPr>
          <w:color w:val="373737"/>
        </w:rPr>
        <w:t>ommunication des résultats aux auteurs</w:t>
      </w:r>
      <w:r>
        <w:rPr>
          <w:color w:val="373737"/>
        </w:rPr>
        <w:t xml:space="preserve"> (acceptation ou refus) : le 20 décembre 2026 </w:t>
      </w:r>
    </w:p>
    <w:p w14:paraId="4D4BF24A" w14:textId="58FDB7A0" w:rsidR="001842DE" w:rsidRPr="004249AC" w:rsidRDefault="001842DE" w:rsidP="001842DE">
      <w:pPr>
        <w:pStyle w:val="compact"/>
        <w:shd w:val="clear" w:color="auto" w:fill="FFFFFF"/>
        <w:spacing w:before="160" w:beforeAutospacing="0" w:after="160" w:afterAutospacing="0"/>
        <w:jc w:val="both"/>
        <w:rPr>
          <w:color w:val="373737"/>
        </w:rPr>
      </w:pPr>
      <w:r w:rsidRPr="004249AC">
        <w:rPr>
          <w:color w:val="373737"/>
        </w:rPr>
        <w:t>Date limite d’envoi des textes (8000 mots) au comité de rédaction des Cahiers de Sociologie Economique et Culturelle</w:t>
      </w:r>
      <w:r w:rsidR="0085242E">
        <w:rPr>
          <w:color w:val="373737"/>
        </w:rPr>
        <w:t> : le 15 mai 2027</w:t>
      </w:r>
      <w:r w:rsidRPr="004249AC">
        <w:rPr>
          <w:color w:val="373737"/>
        </w:rPr>
        <w:t>.</w:t>
      </w:r>
    </w:p>
    <w:p w14:paraId="759ADBFE" w14:textId="18CBBE25" w:rsidR="001842DE" w:rsidRPr="004249AC" w:rsidRDefault="001842DE" w:rsidP="001842DE">
      <w:pPr>
        <w:pStyle w:val="compact"/>
        <w:shd w:val="clear" w:color="auto" w:fill="FFFFFF"/>
        <w:spacing w:before="160" w:beforeAutospacing="0" w:after="160" w:afterAutospacing="0"/>
        <w:jc w:val="both"/>
        <w:rPr>
          <w:color w:val="373737"/>
        </w:rPr>
      </w:pPr>
      <w:r w:rsidRPr="004249AC">
        <w:rPr>
          <w:color w:val="373737"/>
        </w:rPr>
        <w:t>Décision du comité de rédaction communiquée aux auteurs (acceptation, refus, demandes de modifications)</w:t>
      </w:r>
      <w:r w:rsidR="0085242E">
        <w:rPr>
          <w:color w:val="373737"/>
        </w:rPr>
        <w:t> : le 20 juin 2027</w:t>
      </w:r>
      <w:r w:rsidRPr="004249AC">
        <w:rPr>
          <w:color w:val="373737"/>
        </w:rPr>
        <w:t xml:space="preserve"> </w:t>
      </w:r>
    </w:p>
    <w:p w14:paraId="50F69AAE" w14:textId="5B4A5D44" w:rsidR="001842DE" w:rsidRPr="004249AC" w:rsidRDefault="001842DE" w:rsidP="001842DE">
      <w:pPr>
        <w:pStyle w:val="compact"/>
        <w:shd w:val="clear" w:color="auto" w:fill="FFFFFF"/>
        <w:spacing w:before="160" w:beforeAutospacing="0" w:after="160" w:afterAutospacing="0"/>
        <w:jc w:val="both"/>
        <w:rPr>
          <w:color w:val="373737"/>
        </w:rPr>
      </w:pPr>
      <w:r w:rsidRPr="004249AC">
        <w:rPr>
          <w:color w:val="373737"/>
        </w:rPr>
        <w:t>Remise des textes dans leur version définitive après correction suite aux avis des deux rapporteurs</w:t>
      </w:r>
      <w:r w:rsidR="0085242E">
        <w:rPr>
          <w:color w:val="373737"/>
        </w:rPr>
        <w:t> ! le 30 octobre 2027.</w:t>
      </w:r>
    </w:p>
    <w:p w14:paraId="1F98E559" w14:textId="0C270200" w:rsidR="001842DE" w:rsidRPr="004249AC" w:rsidRDefault="001842DE" w:rsidP="001842DE">
      <w:pPr>
        <w:pStyle w:val="compact"/>
        <w:shd w:val="clear" w:color="auto" w:fill="FFFFFF"/>
        <w:spacing w:before="160" w:beforeAutospacing="0" w:after="160" w:afterAutospacing="0"/>
        <w:jc w:val="both"/>
        <w:rPr>
          <w:shd w:val="clear" w:color="auto" w:fill="FFFFFF"/>
        </w:rPr>
      </w:pPr>
      <w:r w:rsidRPr="004249AC">
        <w:rPr>
          <w:color w:val="373737"/>
        </w:rPr>
        <w:t xml:space="preserve">Publication du numéro 70 des Cahiers de Sociologie Economique et Culturelle sur le thème </w:t>
      </w:r>
      <w:r w:rsidRPr="004249AC">
        <w:t>la mort et le genre</w:t>
      </w:r>
      <w:r w:rsidR="0085242E">
        <w:rPr>
          <w:shd w:val="clear" w:color="auto" w:fill="FFFFFF"/>
        </w:rPr>
        <w:t> : le 1er janvier 2028</w:t>
      </w:r>
    </w:p>
    <w:p w14:paraId="115AB3F9" w14:textId="151AC2FE" w:rsidR="004249AC" w:rsidRDefault="001842DE" w:rsidP="001842DE">
      <w:pPr>
        <w:shd w:val="clear" w:color="auto" w:fill="FFFFFF"/>
        <w:spacing w:after="0" w:line="240" w:lineRule="auto"/>
        <w:outlineLvl w:val="0"/>
        <w:rPr>
          <w:rFonts w:ascii="Times New Roman" w:hAnsi="Times New Roman" w:cs="Times New Roman"/>
          <w:b/>
          <w:bCs/>
          <w:color w:val="040404"/>
          <w:kern w:val="36"/>
          <w:sz w:val="24"/>
          <w:szCs w:val="24"/>
          <w:lang w:val="fr-FR"/>
        </w:rPr>
      </w:pPr>
      <w:r w:rsidRPr="004249AC">
        <w:rPr>
          <w:rFonts w:ascii="Times New Roman" w:hAnsi="Times New Roman" w:cs="Times New Roman"/>
          <w:b/>
          <w:bCs/>
          <w:color w:val="040404"/>
          <w:kern w:val="36"/>
          <w:sz w:val="24"/>
          <w:szCs w:val="24"/>
          <w:lang w:val="fr-FR"/>
        </w:rPr>
        <w:t>Coordinateur du numéro.</w:t>
      </w:r>
    </w:p>
    <w:p w14:paraId="39654CA3" w14:textId="2C5C64CA" w:rsidR="001842DE" w:rsidRPr="004249AC" w:rsidRDefault="004249AC" w:rsidP="004249AC">
      <w:pPr>
        <w:pStyle w:val="NormalWeb"/>
        <w:shd w:val="clear" w:color="auto" w:fill="FFFFFF"/>
        <w:spacing w:before="0" w:after="0"/>
        <w:textAlignment w:val="baseline"/>
        <w:rPr>
          <w:color w:val="444340"/>
          <w:shd w:val="clear" w:color="auto" w:fill="FFFFFF"/>
        </w:rPr>
      </w:pPr>
      <w:r w:rsidRPr="004249AC">
        <w:rPr>
          <w:color w:val="444340"/>
          <w:shd w:val="clear" w:color="auto" w:fill="FFFFFF"/>
        </w:rPr>
        <w:t xml:space="preserve">Nada </w:t>
      </w:r>
      <w:proofErr w:type="spellStart"/>
      <w:r w:rsidRPr="004249AC">
        <w:rPr>
          <w:color w:val="444340"/>
          <w:shd w:val="clear" w:color="auto" w:fill="FFFFFF"/>
        </w:rPr>
        <w:t>Afiouni</w:t>
      </w:r>
      <w:proofErr w:type="spellEnd"/>
      <w:r w:rsidRPr="004249AC">
        <w:rPr>
          <w:color w:val="444340"/>
          <w:shd w:val="clear" w:color="auto" w:fill="FFFFFF"/>
        </w:rPr>
        <w:t xml:space="preserve">, professeur des universités, civilisation britannique contemporaine, laboratoire </w:t>
      </w:r>
      <w:proofErr w:type="spellStart"/>
      <w:r w:rsidR="00352EDF">
        <w:rPr>
          <w:color w:val="444340"/>
          <w:shd w:val="clear" w:color="auto" w:fill="FFFFFF"/>
        </w:rPr>
        <w:t>Eriac</w:t>
      </w:r>
      <w:proofErr w:type="spellEnd"/>
      <w:r w:rsidRPr="004249AC">
        <w:rPr>
          <w:color w:val="444340"/>
          <w:shd w:val="clear" w:color="auto" w:fill="FFFFFF"/>
        </w:rPr>
        <w:t>, Université de Rouen</w:t>
      </w:r>
      <w:r w:rsidR="00352EDF">
        <w:rPr>
          <w:color w:val="444340"/>
          <w:shd w:val="clear" w:color="auto" w:fill="FFFFFF"/>
        </w:rPr>
        <w:t xml:space="preserve"> Normandie</w:t>
      </w:r>
    </w:p>
    <w:p w14:paraId="0B13F442" w14:textId="77777777" w:rsidR="001842DE" w:rsidRPr="004249AC" w:rsidRDefault="001842DE" w:rsidP="001842DE">
      <w:pPr>
        <w:shd w:val="clear" w:color="auto" w:fill="FFFFFF"/>
        <w:spacing w:after="0" w:line="240" w:lineRule="auto"/>
        <w:outlineLvl w:val="0"/>
        <w:rPr>
          <w:rFonts w:ascii="Times New Roman" w:hAnsi="Times New Roman" w:cs="Times New Roman"/>
          <w:b/>
          <w:bCs/>
          <w:color w:val="040404"/>
          <w:kern w:val="36"/>
          <w:sz w:val="24"/>
          <w:szCs w:val="24"/>
          <w:lang w:val="fr-FR"/>
        </w:rPr>
      </w:pPr>
      <w:r w:rsidRPr="004249AC">
        <w:rPr>
          <w:rFonts w:ascii="Times New Roman" w:hAnsi="Times New Roman" w:cs="Times New Roman"/>
          <w:b/>
          <w:bCs/>
          <w:color w:val="040404"/>
          <w:kern w:val="36"/>
          <w:sz w:val="24"/>
          <w:szCs w:val="24"/>
          <w:lang w:val="fr-FR"/>
        </w:rPr>
        <w:t>Comité de rédaction de la revue.</w:t>
      </w:r>
    </w:p>
    <w:p w14:paraId="5F182F1F" w14:textId="0FA9893E" w:rsidR="004249AC" w:rsidRPr="004249AC" w:rsidRDefault="004249AC" w:rsidP="001842DE">
      <w:pPr>
        <w:pStyle w:val="NormalWeb"/>
        <w:shd w:val="clear" w:color="auto" w:fill="FFFFFF"/>
        <w:spacing w:before="0" w:after="0"/>
        <w:textAlignment w:val="baseline"/>
        <w:rPr>
          <w:color w:val="444340"/>
          <w:shd w:val="clear" w:color="auto" w:fill="FFFFFF"/>
        </w:rPr>
      </w:pPr>
      <w:r w:rsidRPr="004249AC">
        <w:rPr>
          <w:color w:val="444340"/>
          <w:shd w:val="clear" w:color="auto" w:fill="FFFFFF"/>
        </w:rPr>
        <w:t xml:space="preserve">Nada </w:t>
      </w:r>
      <w:proofErr w:type="spellStart"/>
      <w:r w:rsidRPr="004249AC">
        <w:rPr>
          <w:color w:val="444340"/>
          <w:shd w:val="clear" w:color="auto" w:fill="FFFFFF"/>
        </w:rPr>
        <w:t>Afiouni</w:t>
      </w:r>
      <w:proofErr w:type="spellEnd"/>
      <w:r w:rsidRPr="004249AC">
        <w:rPr>
          <w:color w:val="444340"/>
          <w:shd w:val="clear" w:color="auto" w:fill="FFFFFF"/>
        </w:rPr>
        <w:t xml:space="preserve">, </w:t>
      </w:r>
      <w:r>
        <w:rPr>
          <w:color w:val="444340"/>
          <w:shd w:val="clear" w:color="auto" w:fill="FFFFFF"/>
        </w:rPr>
        <w:t>P</w:t>
      </w:r>
      <w:r w:rsidRPr="004249AC">
        <w:rPr>
          <w:color w:val="444340"/>
          <w:shd w:val="clear" w:color="auto" w:fill="FFFFFF"/>
        </w:rPr>
        <w:t xml:space="preserve">rofesseur des universités, civilisation britannique contemporaine, laboratoire </w:t>
      </w:r>
      <w:r w:rsidR="00352EDF">
        <w:rPr>
          <w:color w:val="444340"/>
          <w:shd w:val="clear" w:color="auto" w:fill="FFFFFF"/>
        </w:rPr>
        <w:t>ERIAC</w:t>
      </w:r>
      <w:r w:rsidRPr="004249AC">
        <w:rPr>
          <w:color w:val="444340"/>
          <w:shd w:val="clear" w:color="auto" w:fill="FFFFFF"/>
        </w:rPr>
        <w:t>, Université de Rouen</w:t>
      </w:r>
      <w:r w:rsidR="00352EDF">
        <w:rPr>
          <w:color w:val="444340"/>
          <w:shd w:val="clear" w:color="auto" w:fill="FFFFFF"/>
        </w:rPr>
        <w:t xml:space="preserve"> Normandie</w:t>
      </w:r>
    </w:p>
    <w:p w14:paraId="178E4D5D" w14:textId="4CC93C39" w:rsidR="001842DE" w:rsidRPr="004249AC" w:rsidRDefault="001842DE" w:rsidP="001842DE">
      <w:pPr>
        <w:pStyle w:val="NormalWeb"/>
        <w:shd w:val="clear" w:color="auto" w:fill="FFFFFF"/>
        <w:spacing w:before="0" w:after="0"/>
        <w:textAlignment w:val="baseline"/>
        <w:rPr>
          <w:color w:val="444340"/>
        </w:rPr>
      </w:pPr>
      <w:r w:rsidRPr="004249AC">
        <w:rPr>
          <w:color w:val="444340"/>
        </w:rPr>
        <w:t>Jérôme Ballet, MCF HDR, économiste, Université de Bordeaux.</w:t>
      </w:r>
    </w:p>
    <w:p w14:paraId="493AA3E7" w14:textId="77777777" w:rsidR="001842DE" w:rsidRPr="004249AC" w:rsidRDefault="001842DE" w:rsidP="001842DE">
      <w:pPr>
        <w:pStyle w:val="NormalWeb"/>
        <w:shd w:val="clear" w:color="auto" w:fill="FFFFFF"/>
        <w:spacing w:before="0" w:after="0"/>
        <w:textAlignment w:val="baseline"/>
        <w:rPr>
          <w:color w:val="444340"/>
        </w:rPr>
      </w:pPr>
      <w:r w:rsidRPr="004249AC">
        <w:rPr>
          <w:color w:val="444340"/>
        </w:rPr>
        <w:t xml:space="preserve">Thierry </w:t>
      </w:r>
      <w:proofErr w:type="spellStart"/>
      <w:r w:rsidRPr="004249AC">
        <w:rPr>
          <w:color w:val="444340"/>
        </w:rPr>
        <w:t>Dezalay</w:t>
      </w:r>
      <w:proofErr w:type="spellEnd"/>
      <w:r w:rsidRPr="004249AC">
        <w:rPr>
          <w:color w:val="444340"/>
        </w:rPr>
        <w:t>, MCF, sociologue, Université du Havre.</w:t>
      </w:r>
    </w:p>
    <w:p w14:paraId="69AEBAD1" w14:textId="77777777" w:rsidR="001842DE" w:rsidRPr="004249AC" w:rsidRDefault="001842DE" w:rsidP="001842DE">
      <w:pPr>
        <w:pStyle w:val="NormalWeb"/>
        <w:shd w:val="clear" w:color="auto" w:fill="FFFFFF"/>
        <w:spacing w:before="0" w:after="0"/>
        <w:textAlignment w:val="baseline"/>
        <w:rPr>
          <w:color w:val="444340"/>
        </w:rPr>
      </w:pPr>
      <w:r w:rsidRPr="004249AC">
        <w:rPr>
          <w:color w:val="444340"/>
        </w:rPr>
        <w:t>Patrick Gravé, MCF, sociologue, laboratoire CIRNEF, Université du Havre.</w:t>
      </w:r>
    </w:p>
    <w:p w14:paraId="6F41E553" w14:textId="77777777" w:rsidR="001842DE" w:rsidRPr="004249AC" w:rsidRDefault="001842DE" w:rsidP="001842DE">
      <w:pPr>
        <w:pStyle w:val="NormalWeb"/>
        <w:shd w:val="clear" w:color="auto" w:fill="FFFFFF"/>
        <w:spacing w:before="0" w:after="0"/>
        <w:textAlignment w:val="baseline"/>
        <w:rPr>
          <w:color w:val="444340"/>
        </w:rPr>
      </w:pPr>
      <w:r w:rsidRPr="004249AC">
        <w:rPr>
          <w:color w:val="444340"/>
        </w:rPr>
        <w:t xml:space="preserve">Albert </w:t>
      </w:r>
      <w:proofErr w:type="spellStart"/>
      <w:r w:rsidRPr="004249AC">
        <w:rPr>
          <w:color w:val="444340"/>
        </w:rPr>
        <w:t>Gueissaz</w:t>
      </w:r>
      <w:proofErr w:type="spellEnd"/>
      <w:r w:rsidRPr="004249AC">
        <w:rPr>
          <w:color w:val="444340"/>
        </w:rPr>
        <w:t>, professeur des universités, sociologue.</w:t>
      </w:r>
    </w:p>
    <w:p w14:paraId="4E079597" w14:textId="45BBD8BC" w:rsidR="001842DE" w:rsidRPr="004249AC" w:rsidRDefault="001842DE" w:rsidP="001842DE">
      <w:pPr>
        <w:pStyle w:val="NormalWeb"/>
        <w:shd w:val="clear" w:color="auto" w:fill="FFFFFF"/>
        <w:spacing w:before="0" w:after="0"/>
        <w:textAlignment w:val="baseline"/>
        <w:rPr>
          <w:color w:val="444340"/>
        </w:rPr>
      </w:pPr>
      <w:r w:rsidRPr="004249AC">
        <w:rPr>
          <w:color w:val="444340"/>
        </w:rPr>
        <w:t>Arnaud Le</w:t>
      </w:r>
      <w:r w:rsidR="00352EDF">
        <w:rPr>
          <w:color w:val="444340"/>
        </w:rPr>
        <w:t>m</w:t>
      </w:r>
      <w:bookmarkStart w:id="0" w:name="_GoBack"/>
      <w:bookmarkEnd w:id="0"/>
      <w:r w:rsidRPr="004249AC">
        <w:rPr>
          <w:color w:val="444340"/>
        </w:rPr>
        <w:t>archand, Professeur d</w:t>
      </w:r>
      <w:r w:rsidR="004249AC">
        <w:rPr>
          <w:color w:val="444340"/>
        </w:rPr>
        <w:t>es universités</w:t>
      </w:r>
      <w:r w:rsidRPr="004249AC">
        <w:rPr>
          <w:color w:val="444340"/>
        </w:rPr>
        <w:t>,</w:t>
      </w:r>
      <w:r w:rsidR="004249AC">
        <w:rPr>
          <w:color w:val="444340"/>
        </w:rPr>
        <w:t xml:space="preserve"> sociologue,</w:t>
      </w:r>
      <w:r w:rsidRPr="004249AC">
        <w:rPr>
          <w:color w:val="444340"/>
        </w:rPr>
        <w:t xml:space="preserve"> Université du Havre, rédacteur en chef des Cahiers de sociologie économique et culturelle.</w:t>
      </w:r>
    </w:p>
    <w:p w14:paraId="1402A630" w14:textId="77777777" w:rsidR="001842DE" w:rsidRPr="004249AC" w:rsidRDefault="001842DE" w:rsidP="001842DE">
      <w:pPr>
        <w:pStyle w:val="NormalWeb"/>
        <w:shd w:val="clear" w:color="auto" w:fill="FFFFFF"/>
        <w:spacing w:before="0" w:after="0"/>
        <w:textAlignment w:val="baseline"/>
        <w:rPr>
          <w:color w:val="444340"/>
        </w:rPr>
      </w:pPr>
      <w:r w:rsidRPr="004249AC">
        <w:rPr>
          <w:color w:val="444340"/>
        </w:rPr>
        <w:t>Jonas Pigeon, Docteur en aménagement de l’espace, chargé de recherche, secrétaire de rédaction , des cahiers de sociologie économique et culturelle.</w:t>
      </w:r>
    </w:p>
    <w:p w14:paraId="44AE3B3B" w14:textId="77777777" w:rsidR="001842DE" w:rsidRPr="004249AC" w:rsidRDefault="001842DE" w:rsidP="001842DE">
      <w:pPr>
        <w:pStyle w:val="NormalWeb"/>
        <w:shd w:val="clear" w:color="auto" w:fill="FFFFFF"/>
        <w:spacing w:before="0" w:after="0"/>
        <w:textAlignment w:val="baseline"/>
        <w:rPr>
          <w:color w:val="444340"/>
        </w:rPr>
      </w:pPr>
      <w:r w:rsidRPr="004249AC">
        <w:rPr>
          <w:color w:val="444340"/>
        </w:rPr>
        <w:t>Thierry Suchère, MCF, économiste, Université du Havre, rédacteur en chef des Cahiers de sociologie économique et culturelle.</w:t>
      </w:r>
    </w:p>
    <w:p w14:paraId="6B231E52" w14:textId="77777777" w:rsidR="001842DE" w:rsidRPr="004249AC" w:rsidRDefault="001842DE" w:rsidP="001842DE">
      <w:pPr>
        <w:pStyle w:val="NormalWeb"/>
        <w:shd w:val="clear" w:color="auto" w:fill="FFFFFF"/>
        <w:spacing w:before="0" w:after="0"/>
        <w:textAlignment w:val="baseline"/>
        <w:rPr>
          <w:color w:val="444340"/>
        </w:rPr>
      </w:pPr>
      <w:r w:rsidRPr="004249AC">
        <w:rPr>
          <w:color w:val="444340"/>
        </w:rPr>
        <w:t>André Suchet, MCF HDR, géographie et sociologie du sport, Université de Bordeaux, Président de l’institut de sociologie économique et culturelle.</w:t>
      </w:r>
    </w:p>
    <w:p w14:paraId="3D4F3277" w14:textId="77777777" w:rsidR="001842DE" w:rsidRPr="004249AC" w:rsidRDefault="001842DE" w:rsidP="001842DE">
      <w:pPr>
        <w:pStyle w:val="NormalWeb"/>
        <w:shd w:val="clear" w:color="auto" w:fill="FFFFFF"/>
        <w:spacing w:before="0" w:after="0"/>
        <w:textAlignment w:val="baseline"/>
        <w:rPr>
          <w:color w:val="444340"/>
        </w:rPr>
      </w:pPr>
      <w:r w:rsidRPr="004249AC">
        <w:rPr>
          <w:color w:val="444340"/>
        </w:rPr>
        <w:t xml:space="preserve">Sylvain </w:t>
      </w:r>
      <w:proofErr w:type="spellStart"/>
      <w:r w:rsidRPr="004249AC">
        <w:rPr>
          <w:color w:val="444340"/>
        </w:rPr>
        <w:t>Zeghni</w:t>
      </w:r>
      <w:proofErr w:type="spellEnd"/>
      <w:r w:rsidRPr="004249AC">
        <w:rPr>
          <w:color w:val="444340"/>
        </w:rPr>
        <w:t>, MCF HDR, économiste, Université Paris Est Marne-la-Vallée.</w:t>
      </w:r>
    </w:p>
    <w:p w14:paraId="6B51358E" w14:textId="77777777" w:rsidR="00B44926" w:rsidRPr="004249AC" w:rsidRDefault="00B44926" w:rsidP="0085242E">
      <w:pPr>
        <w:jc w:val="both"/>
        <w:rPr>
          <w:rFonts w:ascii="Times New Roman" w:hAnsi="Times New Roman" w:cs="Times New Roman"/>
          <w:sz w:val="24"/>
          <w:szCs w:val="24"/>
          <w:lang w:val="fr-FR"/>
        </w:rPr>
      </w:pPr>
    </w:p>
    <w:sectPr w:rsidR="00B44926" w:rsidRPr="004249A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6E8C6B" w14:textId="77777777" w:rsidR="007473D3" w:rsidRDefault="007473D3" w:rsidP="00B26FD6">
      <w:pPr>
        <w:spacing w:after="0" w:line="240" w:lineRule="auto"/>
      </w:pPr>
      <w:r>
        <w:separator/>
      </w:r>
    </w:p>
  </w:endnote>
  <w:endnote w:type="continuationSeparator" w:id="0">
    <w:p w14:paraId="660FB82B" w14:textId="77777777" w:rsidR="007473D3" w:rsidRDefault="007473D3" w:rsidP="00B26F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2B68B5" w14:textId="77777777" w:rsidR="007473D3" w:rsidRDefault="007473D3" w:rsidP="00B26FD6">
      <w:pPr>
        <w:spacing w:after="0" w:line="240" w:lineRule="auto"/>
      </w:pPr>
      <w:r>
        <w:separator/>
      </w:r>
    </w:p>
  </w:footnote>
  <w:footnote w:type="continuationSeparator" w:id="0">
    <w:p w14:paraId="126DD912" w14:textId="77777777" w:rsidR="007473D3" w:rsidRDefault="007473D3" w:rsidP="00B26F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8F284B"/>
    <w:multiLevelType w:val="hybridMultilevel"/>
    <w:tmpl w:val="1EE47F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A8E1273"/>
    <w:multiLevelType w:val="multilevel"/>
    <w:tmpl w:val="01EE6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FD6"/>
    <w:rsid w:val="00001621"/>
    <w:rsid w:val="0000789F"/>
    <w:rsid w:val="000A4E74"/>
    <w:rsid w:val="00124170"/>
    <w:rsid w:val="001842DE"/>
    <w:rsid w:val="002B1742"/>
    <w:rsid w:val="00322EBE"/>
    <w:rsid w:val="00352EDF"/>
    <w:rsid w:val="00387EFE"/>
    <w:rsid w:val="003C7861"/>
    <w:rsid w:val="004249AC"/>
    <w:rsid w:val="00426D70"/>
    <w:rsid w:val="00443265"/>
    <w:rsid w:val="00451CE3"/>
    <w:rsid w:val="00457DC7"/>
    <w:rsid w:val="004B5BB2"/>
    <w:rsid w:val="004F01BC"/>
    <w:rsid w:val="00503E78"/>
    <w:rsid w:val="005F47D6"/>
    <w:rsid w:val="00657A2F"/>
    <w:rsid w:val="00670ADF"/>
    <w:rsid w:val="00713A65"/>
    <w:rsid w:val="00727708"/>
    <w:rsid w:val="007473D3"/>
    <w:rsid w:val="00824627"/>
    <w:rsid w:val="0085242E"/>
    <w:rsid w:val="00994729"/>
    <w:rsid w:val="009D2677"/>
    <w:rsid w:val="00A83BF9"/>
    <w:rsid w:val="00B21A6D"/>
    <w:rsid w:val="00B26FD6"/>
    <w:rsid w:val="00B44926"/>
    <w:rsid w:val="00C64F45"/>
    <w:rsid w:val="00CA4687"/>
    <w:rsid w:val="00D22FB2"/>
    <w:rsid w:val="00E12208"/>
    <w:rsid w:val="00E935B2"/>
    <w:rsid w:val="00F06451"/>
    <w:rsid w:val="00F8105E"/>
    <w:rsid w:val="00FC62D9"/>
    <w:rsid w:val="00FF38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96905"/>
  <w15:chartTrackingRefBased/>
  <w15:docId w15:val="{7662EBC1-1E9D-49CE-A69C-A22D86960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Titre1">
    <w:name w:val="heading 1"/>
    <w:basedOn w:val="Normal"/>
    <w:next w:val="Normal"/>
    <w:link w:val="Titre1Car"/>
    <w:uiPriority w:val="9"/>
    <w:qFormat/>
    <w:rsid w:val="001842DE"/>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lang w:val="fr-FR"/>
    </w:rPr>
  </w:style>
  <w:style w:type="paragraph" w:styleId="Titre3">
    <w:name w:val="heading 3"/>
    <w:basedOn w:val="Normal"/>
    <w:next w:val="Normal"/>
    <w:link w:val="Titre3Car"/>
    <w:uiPriority w:val="9"/>
    <w:semiHidden/>
    <w:unhideWhenUsed/>
    <w:qFormat/>
    <w:rsid w:val="001842DE"/>
    <w:pPr>
      <w:keepNext/>
      <w:keepLines/>
      <w:spacing w:before="40" w:after="0"/>
      <w:outlineLvl w:val="2"/>
    </w:pPr>
    <w:rPr>
      <w:rFonts w:asciiTheme="majorHAnsi" w:eastAsiaTheme="majorEastAsia" w:hAnsiTheme="majorHAnsi" w:cstheme="majorBidi"/>
      <w:color w:val="1F3763" w:themeColor="accent1" w:themeShade="7F"/>
      <w:sz w:val="24"/>
      <w:szCs w:val="24"/>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isselectedend">
    <w:name w:val="isselectedend"/>
    <w:basedOn w:val="Normal"/>
    <w:rsid w:val="00B26FD6"/>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NormalWeb">
    <w:name w:val="Normal (Web)"/>
    <w:basedOn w:val="Normal"/>
    <w:uiPriority w:val="99"/>
    <w:unhideWhenUsed/>
    <w:qFormat/>
    <w:rsid w:val="00B26FD6"/>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Notedebasdepage">
    <w:name w:val="footnote text"/>
    <w:aliases w:val="Footnote Text Char Char Char,Footnote Text Char Char1,Footnote Text Char Char Char Char Carácter Carácter,Footnote Text Char Char1 Char Car Carácter Carácter,Car,FOOTNOTES,fn,single space,f,NOTA PIE DI PAGINA,Char Char,Footnotes,B2F"/>
    <w:basedOn w:val="Normal"/>
    <w:link w:val="NotedebasdepageCar"/>
    <w:uiPriority w:val="99"/>
    <w:unhideWhenUsed/>
    <w:rsid w:val="00B26FD6"/>
    <w:pPr>
      <w:spacing w:before="280" w:after="0" w:line="240" w:lineRule="auto"/>
      <w:jc w:val="both"/>
    </w:pPr>
    <w:rPr>
      <w:sz w:val="20"/>
      <w:szCs w:val="20"/>
    </w:rPr>
  </w:style>
  <w:style w:type="character" w:customStyle="1" w:styleId="NotedebasdepageCar">
    <w:name w:val="Note de bas de page Car"/>
    <w:aliases w:val="Footnote Text Char Char Char Car,Footnote Text Char Char1 Car,Footnote Text Char Char Char Char Carácter Carácter Car,Footnote Text Char Char1 Char Car Carácter Carácter Car,Car Car,FOOTNOTES Car,fn Car,single space Car,f Car"/>
    <w:basedOn w:val="Policepardfaut"/>
    <w:link w:val="Notedebasdepage"/>
    <w:uiPriority w:val="99"/>
    <w:rsid w:val="00B26FD6"/>
    <w:rPr>
      <w:sz w:val="20"/>
      <w:szCs w:val="20"/>
      <w:lang w:val="en-GB"/>
    </w:rPr>
  </w:style>
  <w:style w:type="character" w:styleId="Appelnotedebasdep">
    <w:name w:val="footnote reference"/>
    <w:aliases w:val="Footnotes refss + MSText,Condensé de 0,4 pt,Marque no...,ftref,Balloon Text Char2"/>
    <w:basedOn w:val="Policepardfaut"/>
    <w:uiPriority w:val="99"/>
    <w:unhideWhenUsed/>
    <w:rsid w:val="00B26FD6"/>
    <w:rPr>
      <w:vertAlign w:val="superscript"/>
    </w:rPr>
  </w:style>
  <w:style w:type="character" w:customStyle="1" w:styleId="text-token-text-primary">
    <w:name w:val="text-token-text-primary"/>
    <w:basedOn w:val="Policepardfaut"/>
    <w:rsid w:val="003C7861"/>
  </w:style>
  <w:style w:type="paragraph" w:styleId="Paragraphedeliste">
    <w:name w:val="List Paragraph"/>
    <w:basedOn w:val="Normal"/>
    <w:uiPriority w:val="34"/>
    <w:qFormat/>
    <w:rsid w:val="00994729"/>
    <w:pPr>
      <w:ind w:left="720"/>
      <w:contextualSpacing/>
    </w:pPr>
  </w:style>
  <w:style w:type="character" w:styleId="Lienhypertexte">
    <w:name w:val="Hyperlink"/>
    <w:basedOn w:val="Policepardfaut"/>
    <w:uiPriority w:val="99"/>
    <w:unhideWhenUsed/>
    <w:rsid w:val="00713A65"/>
    <w:rPr>
      <w:color w:val="0563C1" w:themeColor="hyperlink"/>
      <w:u w:val="single"/>
    </w:rPr>
  </w:style>
  <w:style w:type="character" w:styleId="lev">
    <w:name w:val="Strong"/>
    <w:basedOn w:val="Policepardfaut"/>
    <w:uiPriority w:val="22"/>
    <w:qFormat/>
    <w:rsid w:val="000A4E74"/>
    <w:rPr>
      <w:b/>
      <w:bCs/>
    </w:rPr>
  </w:style>
  <w:style w:type="character" w:styleId="Accentuation">
    <w:name w:val="Emphasis"/>
    <w:basedOn w:val="Policepardfaut"/>
    <w:uiPriority w:val="20"/>
    <w:qFormat/>
    <w:rsid w:val="004F01BC"/>
    <w:rPr>
      <w:i/>
      <w:iCs/>
    </w:rPr>
  </w:style>
  <w:style w:type="character" w:customStyle="1" w:styleId="Titre1Car">
    <w:name w:val="Titre 1 Car"/>
    <w:basedOn w:val="Policepardfaut"/>
    <w:link w:val="Titre1"/>
    <w:uiPriority w:val="9"/>
    <w:rsid w:val="001842DE"/>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1842DE"/>
    <w:rPr>
      <w:rFonts w:asciiTheme="majorHAnsi" w:eastAsiaTheme="majorEastAsia" w:hAnsiTheme="majorHAnsi" w:cstheme="majorBidi"/>
      <w:color w:val="1F3763" w:themeColor="accent1" w:themeShade="7F"/>
      <w:sz w:val="24"/>
      <w:szCs w:val="24"/>
    </w:rPr>
  </w:style>
  <w:style w:type="paragraph" w:customStyle="1" w:styleId="compact">
    <w:name w:val="compact"/>
    <w:basedOn w:val="Normal"/>
    <w:rsid w:val="001842DE"/>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styleId="Mentionnonrsolue">
    <w:name w:val="Unresolved Mention"/>
    <w:basedOn w:val="Policepardfaut"/>
    <w:uiPriority w:val="99"/>
    <w:semiHidden/>
    <w:unhideWhenUsed/>
    <w:rsid w:val="001842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9414412">
      <w:bodyDiv w:val="1"/>
      <w:marLeft w:val="0"/>
      <w:marRight w:val="0"/>
      <w:marTop w:val="0"/>
      <w:marBottom w:val="0"/>
      <w:divBdr>
        <w:top w:val="none" w:sz="0" w:space="0" w:color="auto"/>
        <w:left w:val="none" w:sz="0" w:space="0" w:color="auto"/>
        <w:bottom w:val="none" w:sz="0" w:space="0" w:color="auto"/>
        <w:right w:val="none" w:sz="0" w:space="0" w:color="auto"/>
      </w:divBdr>
    </w:div>
    <w:div w:id="1960603142">
      <w:bodyDiv w:val="1"/>
      <w:marLeft w:val="0"/>
      <w:marRight w:val="0"/>
      <w:marTop w:val="0"/>
      <w:marBottom w:val="0"/>
      <w:divBdr>
        <w:top w:val="none" w:sz="0" w:space="0" w:color="auto"/>
        <w:left w:val="none" w:sz="0" w:space="0" w:color="auto"/>
        <w:bottom w:val="none" w:sz="0" w:space="0" w:color="auto"/>
        <w:right w:val="none" w:sz="0" w:space="0" w:color="auto"/>
      </w:divBdr>
    </w:div>
    <w:div w:id="2047097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4324/9781315819945" TargetMode="External"/><Relationship Id="rId13" Type="http://schemas.openxmlformats.org/officeDocument/2006/relationships/hyperlink" Target="https://doi.org/10.7202/018815ar" TargetMode="External"/><Relationship Id="rId18" Type="http://schemas.openxmlformats.org/officeDocument/2006/relationships/hyperlink" Target="https://doi.org/10.7202/1115282ar" TargetMode="External"/><Relationship Id="rId26" Type="http://schemas.openxmlformats.org/officeDocument/2006/relationships/hyperlink" Target="https://sociologieeconomique.org/consignes-aux-auteurs/" TargetMode="External"/><Relationship Id="rId3" Type="http://schemas.openxmlformats.org/officeDocument/2006/relationships/settings" Target="settings.xml"/><Relationship Id="rId21" Type="http://schemas.openxmlformats.org/officeDocument/2006/relationships/hyperlink" Target="https://doi.org/10.1111/tran.12437" TargetMode="External"/><Relationship Id="rId7" Type="http://schemas.openxmlformats.org/officeDocument/2006/relationships/hyperlink" Target="https://doi.org/10.4000/remmm.13769" TargetMode="External"/><Relationship Id="rId12" Type="http://schemas.openxmlformats.org/officeDocument/2006/relationships/hyperlink" Target="https://doi.org/10.4000/remi.19950" TargetMode="External"/><Relationship Id="rId17" Type="http://schemas.openxmlformats.org/officeDocument/2006/relationships/hyperlink" Target="https://doi.org/10.1016/j.polgeo.2016.06.003" TargetMode="External"/><Relationship Id="rId25" Type="http://schemas.openxmlformats.org/officeDocument/2006/relationships/hyperlink" Target="mailto:nada.afiouni@gmail.com" TargetMode="External"/><Relationship Id="rId2" Type="http://schemas.openxmlformats.org/officeDocument/2006/relationships/styles" Target="styles.xml"/><Relationship Id="rId16" Type="http://schemas.openxmlformats.org/officeDocument/2006/relationships/hyperlink" Target="https://doi.org/10.1017/CBO9780511481352" TargetMode="External"/><Relationship Id="rId20" Type="http://schemas.openxmlformats.org/officeDocument/2006/relationships/hyperlink" Target="https://doi.org/10.1007/978-3-031-28284-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al.archives-ouvertes.fr/tel-04903809" TargetMode="External"/><Relationship Id="rId24" Type="http://schemas.openxmlformats.org/officeDocument/2006/relationships/hyperlink" Target="https://doi.org/10.1177/0038038595029004002" TargetMode="External"/><Relationship Id="rId5" Type="http://schemas.openxmlformats.org/officeDocument/2006/relationships/footnotes" Target="footnotes.xml"/><Relationship Id="rId15" Type="http://schemas.openxmlformats.org/officeDocument/2006/relationships/hyperlink" Target="https://doi.org/10.4000/conflits.22549" TargetMode="External"/><Relationship Id="rId23" Type="http://schemas.openxmlformats.org/officeDocument/2006/relationships/hyperlink" Target="https://doi.org/10.3917/lms.237.0013" TargetMode="External"/><Relationship Id="rId28" Type="http://schemas.openxmlformats.org/officeDocument/2006/relationships/theme" Target="theme/theme1.xml"/><Relationship Id="rId10" Type="http://schemas.openxmlformats.org/officeDocument/2006/relationships/hyperlink" Target="https://doi.org/10.2307/1229039" TargetMode="External"/><Relationship Id="rId19" Type="http://schemas.openxmlformats.org/officeDocument/2006/relationships/hyperlink" Target="https://doi.org/10.1163/9789042030879_008" TargetMode="External"/><Relationship Id="rId4" Type="http://schemas.openxmlformats.org/officeDocument/2006/relationships/webSettings" Target="webSettings.xml"/><Relationship Id="rId9" Type="http://schemas.openxmlformats.org/officeDocument/2006/relationships/hyperlink" Target="https://doi.org/10.1017/9781009288569" TargetMode="External"/><Relationship Id="rId14" Type="http://schemas.openxmlformats.org/officeDocument/2006/relationships/hyperlink" Target="https://doi.org/10.1057/9780230283060" TargetMode="External"/><Relationship Id="rId22" Type="http://schemas.openxmlformats.org/officeDocument/2006/relationships/hyperlink" Target="https://doi.org/10.1017/CBO9780511803178" TargetMode="External"/><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6</Pages>
  <Words>2813</Words>
  <Characters>15474</Characters>
  <Application>Microsoft Office Word</Application>
  <DocSecurity>0</DocSecurity>
  <Lines>128</Lines>
  <Paragraphs>36</Paragraphs>
  <ScaleCrop>false</ScaleCrop>
  <HeadingPairs>
    <vt:vector size="4" baseType="variant">
      <vt:variant>
        <vt:lpstr>Titre</vt:lpstr>
      </vt:variant>
      <vt:variant>
        <vt:i4>1</vt:i4>
      </vt:variant>
      <vt:variant>
        <vt:lpstr>Titres</vt:lpstr>
      </vt:variant>
      <vt:variant>
        <vt:i4>6</vt:i4>
      </vt:variant>
    </vt:vector>
  </HeadingPairs>
  <TitlesOfParts>
    <vt:vector size="7" baseType="lpstr">
      <vt:lpstr/>
      <vt:lpstr/>
      <vt:lpstr>Modalités de contribution.</vt:lpstr>
      <vt:lpstr>Dates à retenir.</vt:lpstr>
      <vt:lpstr>        Date limite pour l’envoi d’un résumé le 30 novembre 2026</vt:lpstr>
      <vt:lpstr>Coordinateur du numéro.</vt:lpstr>
      <vt:lpstr>Comité de rédaction de la revue.</vt:lpstr>
    </vt:vector>
  </TitlesOfParts>
  <Company/>
  <LinksUpToDate>false</LinksUpToDate>
  <CharactersWithSpaces>18251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Nada Afiouni</dc:creator>
  <cp:keywords/>
  <dc:description/>
  <cp:lastModifiedBy>XYZ</cp:lastModifiedBy>
  <cp:revision>25</cp:revision>
  <dcterms:created xsi:type="dcterms:W3CDTF">2026-05-31T14:28:00Z</dcterms:created>
  <dcterms:modified xsi:type="dcterms:W3CDTF">2026-06-26T08:37:00Z</dcterms:modified>
</cp:coreProperties>
</file>